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F4" w:rsidRPr="003B6EF4" w:rsidRDefault="003B6EF4" w:rsidP="003B6EF4">
      <w:pPr>
        <w:pStyle w:val="NoSpacing"/>
        <w:jc w:val="center"/>
        <w:rPr>
          <w:rFonts w:asciiTheme="minorHAnsi" w:eastAsia="Calibri" w:hAnsiTheme="minorHAnsi" w:cstheme="minorHAnsi"/>
          <w:b/>
          <w:bCs/>
          <w:sz w:val="56"/>
          <w:szCs w:val="24"/>
        </w:rPr>
      </w:pPr>
      <w:r w:rsidRPr="003B6EF4">
        <w:rPr>
          <w:rFonts w:asciiTheme="minorHAnsi" w:eastAsia="Calibri" w:hAnsiTheme="minorHAnsi" w:cstheme="minorHAnsi"/>
          <w:b/>
          <w:bCs/>
          <w:sz w:val="56"/>
          <w:szCs w:val="24"/>
        </w:rPr>
        <w:t>KOLIN MARKETING INC.</w:t>
      </w:r>
    </w:p>
    <w:p w:rsidR="003B6EF4" w:rsidRPr="003B6EF4" w:rsidRDefault="003B6EF4" w:rsidP="003B6EF4">
      <w:pPr>
        <w:pStyle w:val="NoSpacing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1854 </w:t>
      </w:r>
      <w:proofErr w:type="spellStart"/>
      <w:r w:rsidRPr="003B6EF4">
        <w:rPr>
          <w:rFonts w:asciiTheme="minorHAnsi" w:eastAsia="Calibri" w:hAnsiTheme="minorHAnsi" w:cstheme="minorHAnsi"/>
          <w:sz w:val="24"/>
          <w:szCs w:val="24"/>
        </w:rPr>
        <w:t>Kolin</w:t>
      </w:r>
      <w:proofErr w:type="spellEnd"/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 Bldg., </w:t>
      </w:r>
      <w:proofErr w:type="spellStart"/>
      <w:r w:rsidRPr="003B6EF4">
        <w:rPr>
          <w:rFonts w:asciiTheme="minorHAnsi" w:eastAsia="Calibri" w:hAnsiTheme="minorHAnsi" w:cstheme="minorHAnsi"/>
          <w:sz w:val="24"/>
          <w:szCs w:val="24"/>
        </w:rPr>
        <w:t>Sta.Rita</w:t>
      </w:r>
      <w:proofErr w:type="spellEnd"/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 St., Guadalupe Nuevo, Makati City</w:t>
      </w:r>
    </w:p>
    <w:p w:rsidR="003B6EF4" w:rsidRPr="003B6EF4" w:rsidRDefault="003B6EF4" w:rsidP="003B6EF4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</w:p>
    <w:p w:rsidR="003B6EF4" w:rsidRPr="003B6EF4" w:rsidRDefault="003B6EF4" w:rsidP="003B6EF4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</w:p>
    <w:p w:rsidR="003B6EF4" w:rsidRPr="003B6EF4" w:rsidRDefault="00BF3374" w:rsidP="003B6EF4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Tran</w:t>
      </w:r>
      <w:r w:rsidR="003B6EF4" w:rsidRPr="003B6EF4">
        <w:rPr>
          <w:rFonts w:asciiTheme="minorHAnsi" w:eastAsia="Calibri" w:hAnsiTheme="minorHAnsi" w:cstheme="minorHAnsi"/>
          <w:b/>
          <w:sz w:val="24"/>
          <w:szCs w:val="24"/>
        </w:rPr>
        <w:t xml:space="preserve">sfer </w:t>
      </w:r>
      <w:r w:rsidRPr="003B6EF4">
        <w:rPr>
          <w:rFonts w:asciiTheme="minorHAnsi" w:eastAsia="Calibri" w:hAnsiTheme="minorHAnsi" w:cstheme="minorHAnsi"/>
          <w:b/>
          <w:sz w:val="24"/>
          <w:szCs w:val="24"/>
        </w:rPr>
        <w:t>to</w:t>
      </w:r>
      <w:r w:rsidRPr="003B6EF4">
        <w:rPr>
          <w:rFonts w:asciiTheme="minorHAnsi" w:eastAsia="Calibri" w:hAnsiTheme="minorHAnsi" w:cstheme="minorHAnsi"/>
          <w:sz w:val="24"/>
          <w:szCs w:val="24"/>
        </w:rPr>
        <w:t>:</w:t>
      </w:r>
      <w:r w:rsidR="003B6EF4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  <w:t>Cavite Office</w:t>
      </w:r>
      <w:r w:rsidR="003B6EF4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Pr="003B6EF4">
        <w:rPr>
          <w:rFonts w:asciiTheme="minorHAnsi" w:eastAsia="Calibri" w:hAnsiTheme="minorHAnsi" w:cstheme="minorHAnsi"/>
          <w:b/>
          <w:sz w:val="24"/>
          <w:szCs w:val="24"/>
        </w:rPr>
        <w:t>Date</w:t>
      </w:r>
      <w:r w:rsidRPr="003B6EF4">
        <w:rPr>
          <w:rFonts w:asciiTheme="minorHAnsi" w:eastAsia="Calibri" w:hAnsiTheme="minorHAnsi" w:cstheme="minorHAnsi"/>
          <w:sz w:val="24"/>
          <w:szCs w:val="24"/>
        </w:rPr>
        <w:t>:</w:t>
      </w:r>
      <w:r w:rsidR="003B6EF4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</w:p>
    <w:p w:rsidR="003B6EF4" w:rsidRPr="003B6EF4" w:rsidRDefault="003B6EF4" w:rsidP="003B6EF4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3B6EF4" w:rsidRPr="003B6EF4" w:rsidRDefault="00BF3374" w:rsidP="003B6EF4">
      <w:pPr>
        <w:pStyle w:val="NoSpacing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3B6EF4">
        <w:rPr>
          <w:rFonts w:asciiTheme="minorHAnsi" w:eastAsia="Calibri" w:hAnsiTheme="minorHAnsi" w:cstheme="minorHAnsi"/>
          <w:b/>
          <w:sz w:val="24"/>
          <w:szCs w:val="24"/>
        </w:rPr>
        <w:t>Dapartment</w:t>
      </w:r>
      <w:r w:rsidRPr="003B6EF4">
        <w:rPr>
          <w:rFonts w:asciiTheme="minorHAnsi" w:eastAsia="Calibri" w:hAnsiTheme="minorHAnsi" w:cstheme="minorHAnsi"/>
          <w:sz w:val="24"/>
          <w:szCs w:val="24"/>
        </w:rPr>
        <w:t>:</w:t>
      </w:r>
      <w:r w:rsidR="003B6EF4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  <w:t>Finance</w:t>
      </w:r>
      <w:r w:rsid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3B6EF4" w:rsidRPr="003B6EF4">
        <w:rPr>
          <w:rFonts w:asciiTheme="minorHAnsi" w:eastAsia="Calibri" w:hAnsiTheme="minorHAnsi" w:cstheme="minorHAnsi"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sz w:val="24"/>
          <w:szCs w:val="24"/>
        </w:rPr>
        <w:t>Box</w:t>
      </w:r>
      <w:r w:rsidRPr="003B6EF4">
        <w:rPr>
          <w:rFonts w:asciiTheme="minorHAnsi" w:eastAsia="Calibri" w:hAnsiTheme="minorHAnsi" w:cstheme="minorHAnsi"/>
          <w:sz w:val="24"/>
          <w:szCs w:val="24"/>
        </w:rPr>
        <w:t>:</w:t>
      </w:r>
      <w:r w:rsidR="003B6EF4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  <w:t xml:space="preserve">One (1) </w:t>
      </w:r>
      <w:r w:rsid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</w:p>
    <w:p w:rsidR="003B6EF4" w:rsidRPr="003B6EF4" w:rsidRDefault="003B6EF4" w:rsidP="003B6EF4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tbl>
      <w:tblPr>
        <w:tblW w:w="104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7"/>
        <w:gridCol w:w="1417"/>
        <w:gridCol w:w="6237"/>
        <w:gridCol w:w="1559"/>
      </w:tblGrid>
      <w:tr w:rsidR="003B6EF4" w:rsidRPr="003B6EF4" w:rsidTr="00150D36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EF4" w:rsidRPr="003B6EF4" w:rsidRDefault="003B6EF4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B6EF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EF4" w:rsidRPr="003B6EF4" w:rsidRDefault="003B6EF4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B6EF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6EF4" w:rsidRPr="003B6EF4" w:rsidRDefault="003B6EF4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Filename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F4" w:rsidRDefault="003B6EF4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3B6EF4" w:rsidRPr="003B6EF4" w:rsidTr="00150D36">
        <w:trPr>
          <w:trHeight w:val="9708"/>
        </w:trPr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B6EF4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3C1A79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Pr="003B6EF4" w:rsidRDefault="003B6EF4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3B6EF4" w:rsidRDefault="003B6EF4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150D36" w:rsidRPr="00150D36" w:rsidRDefault="00150D36" w:rsidP="00150D36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F4" w:rsidRDefault="003B6EF4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  <w:p w:rsidR="003B6EF4" w:rsidRDefault="003B6EF4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B6EF4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D6356B" w:rsidRDefault="00D6356B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150D36" w:rsidRPr="003B6EF4" w:rsidRDefault="00150D36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F4" w:rsidRDefault="00F7044D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B6EF4">
              <w:rPr>
                <w:rFonts w:asciiTheme="minorHAnsi" w:eastAsia="Calibri" w:hAnsiTheme="minorHAnsi" w:cstheme="minorHAnsi"/>
                <w:sz w:val="24"/>
                <w:szCs w:val="24"/>
              </w:rPr>
              <w:t>KPII Sales Invoice January – December</w:t>
            </w:r>
          </w:p>
          <w:p w:rsidR="003B6EF4" w:rsidRDefault="00F7044D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B6EF4">
              <w:rPr>
                <w:rFonts w:asciiTheme="minorHAnsi" w:eastAsia="Calibri" w:hAnsiTheme="minorHAnsi" w:cstheme="minorHAnsi"/>
                <w:sz w:val="24"/>
                <w:szCs w:val="24"/>
              </w:rPr>
              <w:t>KPII Sales Invoice Factory Sales</w:t>
            </w:r>
          </w:p>
          <w:p w:rsidR="00D6356B" w:rsidRDefault="00F7044D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D6356B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Factory Sales December 1-3</w:t>
            </w:r>
          </w:p>
          <w:p w:rsidR="003C1A79" w:rsidRDefault="00F7044D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Factory Sales December 1-3 - Gate pass</w:t>
            </w:r>
          </w:p>
          <w:p w:rsidR="003B6EF4" w:rsidRDefault="00F7044D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B6EF4">
              <w:rPr>
                <w:rFonts w:asciiTheme="minorHAnsi" w:eastAsia="Calibri" w:hAnsiTheme="minorHAnsi" w:cstheme="minorHAnsi"/>
                <w:sz w:val="24"/>
                <w:szCs w:val="24"/>
              </w:rPr>
              <w:t>KMI</w:t>
            </w:r>
            <w:r w:rsidR="00D6356B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Sales Invoice w/ Collection Receipt</w:t>
            </w:r>
          </w:p>
          <w:p w:rsidR="003B6EF4" w:rsidRDefault="00F7044D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Purchase Order</w:t>
            </w:r>
          </w:p>
          <w:p w:rsidR="003B6EF4" w:rsidRDefault="00F7044D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Sales Invoice January 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February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March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Sales Invoice April 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May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June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July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August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September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October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November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Sales Invoice December</w:t>
            </w:r>
          </w:p>
          <w:p w:rsidR="003B6EF4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Delivery Receipt</w:t>
            </w:r>
          </w:p>
          <w:p w:rsidR="003C1A79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KMI Cancel Purchase Order</w:t>
            </w:r>
          </w:p>
          <w:p w:rsidR="003B6EF4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CO – Delivery Receipt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CO – KMI Sales Invoice January - June</w:t>
            </w:r>
          </w:p>
          <w:p w:rsidR="003B6EF4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3C1A79">
              <w:rPr>
                <w:rFonts w:asciiTheme="minorHAnsi" w:eastAsia="Calibri" w:hAnsiTheme="minorHAnsi" w:cstheme="minorHAnsi"/>
                <w:sz w:val="24"/>
                <w:szCs w:val="24"/>
              </w:rPr>
              <w:t>Counter Receipt</w:t>
            </w:r>
          </w:p>
          <w:p w:rsidR="00150D36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KMI Billing Statement January – June (F1)</w:t>
            </w:r>
          </w:p>
          <w:p w:rsidR="00150D36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KMI Billing Statement May</w:t>
            </w:r>
          </w:p>
          <w:p w:rsidR="00150D36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KMI Billing Statement June</w:t>
            </w:r>
          </w:p>
          <w:p w:rsidR="00150D36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KMI Billing Statement April</w:t>
            </w:r>
          </w:p>
          <w:p w:rsidR="00150D36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KMI PR Booklet 0501</w:t>
            </w:r>
          </w:p>
          <w:p w:rsidR="00150D36" w:rsidRDefault="00F7044D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KPII OR Booklet 70001 – 70050</w:t>
            </w:r>
          </w:p>
          <w:p w:rsidR="00150D36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KPII OR Booklet 70101 – 70150</w:t>
            </w:r>
          </w:p>
          <w:p w:rsidR="00150D36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KMI SI Booklet 028001</w:t>
            </w:r>
          </w:p>
          <w:p w:rsidR="00150D36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KMI SI Booklet 028351</w:t>
            </w:r>
          </w:p>
          <w:p w:rsidR="00150D36" w:rsidRPr="003B6EF4" w:rsidRDefault="00F7044D" w:rsidP="00150D36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</w:t>
            </w:r>
            <w:r w:rsidR="00150D36">
              <w:rPr>
                <w:rFonts w:asciiTheme="minorHAnsi" w:eastAsia="Calibri" w:hAnsiTheme="minorHAnsi" w:cstheme="minorHAnsi"/>
                <w:sz w:val="24"/>
                <w:szCs w:val="24"/>
              </w:rPr>
              <w:t>KMI SI Booklet 028701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F4" w:rsidRDefault="003B6EF4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B6EF4" w:rsidRDefault="003B6EF4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D6356B" w:rsidRDefault="00D6356B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D6356B" w:rsidRDefault="00D6356B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D6356B" w:rsidRDefault="00D6356B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2018</w:t>
            </w:r>
          </w:p>
          <w:p w:rsidR="00D6356B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D6356B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C1A79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2022 - 2023</w:t>
            </w:r>
          </w:p>
          <w:p w:rsidR="00D6356B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2021 - 2022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3C1A79" w:rsidRDefault="003C1A79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150D36" w:rsidRDefault="00150D36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150D36" w:rsidRDefault="00150D36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150D36" w:rsidRDefault="00150D36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150D36" w:rsidRDefault="00150D36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150D36" w:rsidRDefault="00150D36" w:rsidP="003B6EF4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:rsidR="00B90C6D" w:rsidRDefault="00B90C6D" w:rsidP="00150D3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5684"/>
        <w:gridCol w:w="5508"/>
      </w:tblGrid>
      <w:tr w:rsidR="00CF7002" w:rsidTr="00CF7002">
        <w:trPr>
          <w:trHeight w:val="445"/>
        </w:trPr>
        <w:tc>
          <w:tcPr>
            <w:tcW w:w="11192" w:type="dxa"/>
            <w:gridSpan w:val="2"/>
          </w:tcPr>
          <w:p w:rsidR="00CF7002" w:rsidRPr="008D5D13" w:rsidRDefault="00CF7002" w:rsidP="00150D3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D13">
              <w:rPr>
                <w:rFonts w:asciiTheme="minorHAnsi" w:hAnsiTheme="minorHAnsi" w:cstheme="minorHAnsi"/>
                <w:b/>
                <w:sz w:val="24"/>
                <w:szCs w:val="24"/>
              </w:rPr>
              <w:t>Remarks:</w:t>
            </w:r>
          </w:p>
        </w:tc>
      </w:tr>
      <w:tr w:rsidR="00150D36" w:rsidTr="00150D36">
        <w:tc>
          <w:tcPr>
            <w:tcW w:w="5684" w:type="dxa"/>
          </w:tcPr>
          <w:p w:rsidR="00150D36" w:rsidRPr="008D5D13" w:rsidRDefault="00CF7002" w:rsidP="00CF7002">
            <w:p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0.45pt;margin-top:13.45pt;width:160.55pt;height:.05pt;z-index:251663360;mso-position-horizontal-relative:text;mso-position-vertical-relative:text" o:connectortype="straight" wrapcoords="1 1 215 1 215 1 1 1 1 1"/>
              </w:pict>
            </w: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391160</wp:posOffset>
                  </wp:positionV>
                  <wp:extent cx="1851660" cy="210185"/>
                  <wp:effectExtent l="19050" t="0" r="0" b="0"/>
                  <wp:wrapThrough wrapText="bothSides">
                    <wp:wrapPolygon edited="0">
                      <wp:start x="-222" y="0"/>
                      <wp:lineTo x="-222" y="17619"/>
                      <wp:lineTo x="21556" y="17619"/>
                      <wp:lineTo x="21556" y="0"/>
                      <wp:lineTo x="-222" y="0"/>
                    </wp:wrapPolygon>
                  </wp:wrapThrough>
                  <wp:docPr id="51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82.05pt;margin-top:13.45pt;width:131.6pt;height:19.05pt;z-index:251662336;mso-position-horizontal-relative:text;mso-position-vertical-relative:text" strokecolor="white [3212]">
                  <v:textbox>
                    <w:txbxContent>
                      <w:p w:rsidR="00CF7002" w:rsidRDefault="00CF7002" w:rsidP="00CF7002">
                        <w:proofErr w:type="spellStart"/>
                        <w:r>
                          <w:t>Donnabel</w:t>
                        </w:r>
                        <w:proofErr w:type="spellEnd"/>
                        <w:r>
                          <w:t xml:space="preserve"> B. </w:t>
                        </w:r>
                        <w:proofErr w:type="spellStart"/>
                        <w:r>
                          <w:t>Dela</w:t>
                        </w:r>
                        <w:proofErr w:type="spellEnd"/>
                        <w:r>
                          <w:t xml:space="preserve"> Rosa</w:t>
                        </w:r>
                      </w:p>
                    </w:txbxContent>
                  </v:textbox>
                </v:shape>
              </w:pict>
            </w:r>
            <w:r w:rsidRPr="008D5D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Prepared by: </w:t>
            </w:r>
            <w:r w:rsidRPr="008D5D1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="00150D36" w:rsidRPr="008D5D13" w:rsidRDefault="00150D36" w:rsidP="00150D3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150D36" w:rsidRPr="008D5D13" w:rsidRDefault="00CF7002" w:rsidP="00150D3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 id="_x0000_s1033" type="#_x0000_t202" style="position:absolute;margin-left:90.4pt;margin-top:13.5pt;width:131.6pt;height:19.05pt;z-index:251664384;mso-position-horizontal-relative:text;mso-position-vertical-relative:text" strokecolor="white [3212]">
                  <v:textbox>
                    <w:txbxContent>
                      <w:p w:rsidR="00CF7002" w:rsidRDefault="00CF7002" w:rsidP="00CF7002">
                        <w:r>
                          <w:t>Mart Nathaniel R. Flores</w:t>
                        </w:r>
                      </w:p>
                    </w:txbxContent>
                  </v:textbox>
                </v:shape>
              </w:pict>
            </w: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 id="_x0000_s1034" type="#_x0000_t202" style="position:absolute;margin-left:111.5pt;margin-top:25.5pt;width:131.6pt;height:19.05pt;z-index:251659263;mso-position-horizontal-relative:text;mso-position-vertical-relative:text" strokecolor="white [3212]">
                  <v:textbox>
                    <w:txbxContent>
                      <w:p w:rsidR="00CF7002" w:rsidRDefault="00CF7002" w:rsidP="00CF7002">
                        <w:r>
                          <w:t>KMI Supervisor</w:t>
                        </w:r>
                      </w:p>
                    </w:txbxContent>
                  </v:textbox>
                </v:shape>
              </w:pict>
            </w: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 id="_x0000_s1027" type="#_x0000_t32" style="position:absolute;margin-left:79.65pt;margin-top:13.45pt;width:160.55pt;height:0;z-index:251665408;mso-position-horizontal-relative:text;mso-position-vertical-relative:text" o:connectortype="straight"/>
              </w:pict>
            </w:r>
            <w:r w:rsidRPr="008D5D13">
              <w:rPr>
                <w:rFonts w:asciiTheme="minorHAnsi" w:hAnsiTheme="minorHAnsi" w:cstheme="minorHAnsi"/>
                <w:b/>
                <w:sz w:val="24"/>
                <w:szCs w:val="24"/>
              </w:rPr>
              <w:t>Approved by:</w:t>
            </w:r>
          </w:p>
        </w:tc>
      </w:tr>
    </w:tbl>
    <w:p w:rsidR="00CF7002" w:rsidRPr="003B6EF4" w:rsidRDefault="00CF7002" w:rsidP="00CF7002">
      <w:pPr>
        <w:pStyle w:val="NoSpacing"/>
        <w:jc w:val="center"/>
        <w:rPr>
          <w:rFonts w:asciiTheme="minorHAnsi" w:eastAsia="Calibri" w:hAnsiTheme="minorHAnsi" w:cstheme="minorHAnsi"/>
          <w:b/>
          <w:bCs/>
          <w:sz w:val="56"/>
          <w:szCs w:val="24"/>
        </w:rPr>
      </w:pPr>
      <w:r w:rsidRPr="003B6EF4">
        <w:rPr>
          <w:rFonts w:asciiTheme="minorHAnsi" w:eastAsia="Calibri" w:hAnsiTheme="minorHAnsi" w:cstheme="minorHAnsi"/>
          <w:b/>
          <w:bCs/>
          <w:sz w:val="56"/>
          <w:szCs w:val="24"/>
        </w:rPr>
        <w:lastRenderedPageBreak/>
        <w:t>KOLIN MARKETING INC.</w:t>
      </w:r>
    </w:p>
    <w:p w:rsidR="00CF7002" w:rsidRPr="003B6EF4" w:rsidRDefault="00CF7002" w:rsidP="00CF7002">
      <w:pPr>
        <w:pStyle w:val="NoSpacing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1854 </w:t>
      </w:r>
      <w:proofErr w:type="spellStart"/>
      <w:r w:rsidRPr="003B6EF4">
        <w:rPr>
          <w:rFonts w:asciiTheme="minorHAnsi" w:eastAsia="Calibri" w:hAnsiTheme="minorHAnsi" w:cstheme="minorHAnsi"/>
          <w:sz w:val="24"/>
          <w:szCs w:val="24"/>
        </w:rPr>
        <w:t>Kolin</w:t>
      </w:r>
      <w:proofErr w:type="spellEnd"/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 Bldg., </w:t>
      </w:r>
      <w:proofErr w:type="spellStart"/>
      <w:r w:rsidRPr="003B6EF4">
        <w:rPr>
          <w:rFonts w:asciiTheme="minorHAnsi" w:eastAsia="Calibri" w:hAnsiTheme="minorHAnsi" w:cstheme="minorHAnsi"/>
          <w:sz w:val="24"/>
          <w:szCs w:val="24"/>
        </w:rPr>
        <w:t>Sta.Rita</w:t>
      </w:r>
      <w:proofErr w:type="spellEnd"/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 St., Guadalupe Nuevo, Makati City</w:t>
      </w:r>
    </w:p>
    <w:p w:rsidR="00CF7002" w:rsidRPr="003B6EF4" w:rsidRDefault="00CF7002" w:rsidP="00CF7002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</w:p>
    <w:p w:rsidR="00CF7002" w:rsidRPr="003B6EF4" w:rsidRDefault="00CF7002" w:rsidP="00CF7002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</w:p>
    <w:p w:rsidR="00CF7002" w:rsidRPr="003B6EF4" w:rsidRDefault="00BF3374" w:rsidP="00CF7002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Tran</w:t>
      </w:r>
      <w:r w:rsidR="00CF7002" w:rsidRPr="003B6EF4">
        <w:rPr>
          <w:rFonts w:asciiTheme="minorHAnsi" w:eastAsia="Calibri" w:hAnsiTheme="minorHAnsi" w:cstheme="minorHAnsi"/>
          <w:b/>
          <w:sz w:val="24"/>
          <w:szCs w:val="24"/>
        </w:rPr>
        <w:t xml:space="preserve">sfer </w:t>
      </w:r>
      <w:r w:rsidRPr="003B6EF4">
        <w:rPr>
          <w:rFonts w:asciiTheme="minorHAnsi" w:eastAsia="Calibri" w:hAnsiTheme="minorHAnsi" w:cstheme="minorHAnsi"/>
          <w:b/>
          <w:sz w:val="24"/>
          <w:szCs w:val="24"/>
        </w:rPr>
        <w:t>to</w:t>
      </w:r>
      <w:r w:rsidRPr="003B6EF4">
        <w:rPr>
          <w:rFonts w:asciiTheme="minorHAnsi" w:eastAsia="Calibri" w:hAnsiTheme="minorHAnsi" w:cstheme="minorHAnsi"/>
          <w:sz w:val="24"/>
          <w:szCs w:val="24"/>
        </w:rPr>
        <w:t>:</w:t>
      </w:r>
      <w:r w:rsidR="00CF7002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  <w:t>Cavite Office</w:t>
      </w:r>
      <w:r w:rsidR="00CF7002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Pr="003B6EF4">
        <w:rPr>
          <w:rFonts w:asciiTheme="minorHAnsi" w:eastAsia="Calibri" w:hAnsiTheme="minorHAnsi" w:cstheme="minorHAnsi"/>
          <w:b/>
          <w:sz w:val="24"/>
          <w:szCs w:val="24"/>
        </w:rPr>
        <w:t>Date</w:t>
      </w:r>
      <w:r w:rsidRPr="003B6EF4">
        <w:rPr>
          <w:rFonts w:asciiTheme="minorHAnsi" w:eastAsia="Calibri" w:hAnsiTheme="minorHAnsi" w:cstheme="minorHAnsi"/>
          <w:sz w:val="24"/>
          <w:szCs w:val="24"/>
        </w:rPr>
        <w:t>:</w:t>
      </w:r>
      <w:r w:rsidR="00CF7002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</w:p>
    <w:p w:rsidR="00CF7002" w:rsidRPr="003B6EF4" w:rsidRDefault="00CF7002" w:rsidP="00CF7002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:rsidR="00CF7002" w:rsidRPr="003B6EF4" w:rsidRDefault="00BF3374" w:rsidP="00CF7002">
      <w:pPr>
        <w:pStyle w:val="NoSpacing"/>
        <w:rPr>
          <w:rFonts w:asciiTheme="minorHAnsi" w:eastAsia="Calibri" w:hAnsiTheme="minorHAnsi" w:cstheme="minorHAnsi"/>
          <w:sz w:val="24"/>
          <w:szCs w:val="24"/>
          <w:u w:val="single"/>
        </w:rPr>
      </w:pPr>
      <w:r w:rsidRPr="003B6EF4">
        <w:rPr>
          <w:rFonts w:asciiTheme="minorHAnsi" w:eastAsia="Calibri" w:hAnsiTheme="minorHAnsi" w:cstheme="minorHAnsi"/>
          <w:b/>
          <w:sz w:val="24"/>
          <w:szCs w:val="24"/>
        </w:rPr>
        <w:t>Dapartment</w:t>
      </w:r>
      <w:r w:rsidRPr="003B6EF4">
        <w:rPr>
          <w:rFonts w:asciiTheme="minorHAnsi" w:eastAsia="Calibri" w:hAnsiTheme="minorHAnsi" w:cstheme="minorHAnsi"/>
          <w:sz w:val="24"/>
          <w:szCs w:val="24"/>
        </w:rPr>
        <w:t>:</w:t>
      </w:r>
      <w:r w:rsidR="00CF7002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  <w:u w:val="single"/>
        </w:rPr>
        <w:tab/>
        <w:t>Finance</w:t>
      </w:r>
      <w:r w:rsidR="00CF7002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CF7002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  <w:r w:rsidR="00CF7002" w:rsidRPr="003B6EF4">
        <w:rPr>
          <w:rFonts w:asciiTheme="minorHAnsi" w:eastAsia="Calibri" w:hAnsiTheme="minorHAnsi" w:cstheme="minorHAnsi"/>
          <w:sz w:val="24"/>
          <w:szCs w:val="24"/>
        </w:rPr>
        <w:tab/>
      </w:r>
      <w:r>
        <w:rPr>
          <w:rFonts w:asciiTheme="minorHAnsi" w:eastAsia="Calibri" w:hAnsiTheme="minorHAnsi" w:cstheme="minorHAnsi"/>
          <w:b/>
          <w:sz w:val="24"/>
          <w:szCs w:val="24"/>
        </w:rPr>
        <w:t>Box</w:t>
      </w:r>
      <w:r w:rsidRPr="003B6EF4">
        <w:rPr>
          <w:rFonts w:asciiTheme="minorHAnsi" w:eastAsia="Calibri" w:hAnsiTheme="minorHAnsi" w:cstheme="minorHAnsi"/>
          <w:sz w:val="24"/>
          <w:szCs w:val="24"/>
        </w:rPr>
        <w:t>:</w:t>
      </w:r>
      <w:r w:rsidR="00CF7002" w:rsidRPr="003B6EF4">
        <w:rPr>
          <w:rFonts w:asciiTheme="minorHAnsi" w:eastAsia="Calibri" w:hAnsiTheme="minorHAnsi" w:cstheme="minorHAnsi"/>
          <w:sz w:val="24"/>
          <w:szCs w:val="24"/>
        </w:rPr>
        <w:tab/>
      </w:r>
      <w:r w:rsidR="00CF7002">
        <w:rPr>
          <w:rFonts w:asciiTheme="minorHAnsi" w:eastAsia="Calibri" w:hAnsiTheme="minorHAnsi" w:cstheme="minorHAnsi"/>
          <w:sz w:val="24"/>
          <w:szCs w:val="24"/>
          <w:u w:val="single"/>
        </w:rPr>
        <w:tab/>
        <w:t xml:space="preserve">Two (2) </w:t>
      </w:r>
      <w:r w:rsidR="00CF7002">
        <w:rPr>
          <w:rFonts w:asciiTheme="minorHAnsi" w:eastAsia="Calibri" w:hAnsiTheme="minorHAnsi" w:cstheme="minorHAnsi"/>
          <w:sz w:val="24"/>
          <w:szCs w:val="24"/>
          <w:u w:val="single"/>
        </w:rPr>
        <w:tab/>
      </w:r>
    </w:p>
    <w:p w:rsidR="00CF7002" w:rsidRPr="003B6EF4" w:rsidRDefault="00CF7002" w:rsidP="00CF7002">
      <w:pPr>
        <w:pStyle w:val="NoSpacing"/>
        <w:rPr>
          <w:rFonts w:asciiTheme="minorHAnsi" w:eastAsia="Calibri" w:hAnsiTheme="minorHAnsi" w:cstheme="minorHAnsi"/>
          <w:sz w:val="24"/>
          <w:szCs w:val="24"/>
        </w:rPr>
      </w:pPr>
      <w:r w:rsidRPr="003B6EF4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tbl>
      <w:tblPr>
        <w:tblW w:w="1127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3"/>
        <w:gridCol w:w="1276"/>
        <w:gridCol w:w="7654"/>
        <w:gridCol w:w="1418"/>
      </w:tblGrid>
      <w:tr w:rsidR="00CF7002" w:rsidRPr="003B6EF4" w:rsidTr="00F7044D"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02" w:rsidRPr="003B6EF4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B6EF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02" w:rsidRPr="003B6EF4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B6EF4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002" w:rsidRPr="003B6EF4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Filename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02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Year</w:t>
            </w:r>
          </w:p>
        </w:tc>
      </w:tr>
      <w:tr w:rsidR="00CF7002" w:rsidRPr="003B6EF4" w:rsidTr="008D5D13">
        <w:trPr>
          <w:trHeight w:val="8006"/>
        </w:trPr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3B6EF4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Default="00CF7002" w:rsidP="00CF7002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CF7002" w:rsidRPr="008D5D13" w:rsidRDefault="00CF7002" w:rsidP="008D5D13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  <w:p w:rsidR="00CF7002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  <w:p w:rsidR="008D5D13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  <w:p w:rsidR="008D5D13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  <w:p w:rsidR="00CF7002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CF7002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CF7002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CF7002" w:rsidRDefault="00CF7002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  <w:p w:rsidR="00CF7002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  <w:p w:rsidR="008D5D13" w:rsidRPr="003B6EF4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</w:t>
            </w:r>
            <w:r w:rsidR="008D5D13">
              <w:rPr>
                <w:rFonts w:asciiTheme="minorHAnsi" w:eastAsia="Calibri" w:hAnsiTheme="minorHAnsi" w:cstheme="minorHAnsi"/>
                <w:sz w:val="24"/>
                <w:szCs w:val="24"/>
              </w:rPr>
              <w:t>Daily Collection Receipt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January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(Mart, Alfredo, Roland and CO)</w:t>
            </w:r>
          </w:p>
          <w:p w:rsidR="00CF7002" w:rsidRDefault="008D5D13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February</w:t>
            </w:r>
            <w:r w:rsidR="00F7044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 and CO)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March</w:t>
            </w:r>
            <w:r w:rsidR="00F7044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 and CO)</w:t>
            </w:r>
          </w:p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8D5D1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April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 and CO)</w:t>
            </w:r>
          </w:p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8D5D1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May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 and CO)</w:t>
            </w:r>
          </w:p>
          <w:p w:rsidR="00CF7002" w:rsidRDefault="00F7044D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8D5D1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June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Roland and CO)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July</w:t>
            </w:r>
            <w:r w:rsidR="00F7044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Roland and CO)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August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Alfredo, Roland and CO)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September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Alfredo, Roland and CO)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October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Alfredo, Roland and CO)</w:t>
            </w:r>
          </w:p>
          <w:p w:rsidR="00CF7002" w:rsidRDefault="008D5D13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November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Alfredo, Roland and CO)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KMI Daily Collection Receipt </w:t>
            </w:r>
            <w:r w:rsidR="00CF7002">
              <w:rPr>
                <w:rFonts w:asciiTheme="minorHAnsi" w:eastAsia="Calibri" w:hAnsiTheme="minorHAnsi" w:cstheme="minorHAnsi"/>
                <w:sz w:val="24"/>
                <w:szCs w:val="24"/>
              </w:rPr>
              <w:t>December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(Mart, Alfredo, Roland and CO)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KMI Sales Invoice January 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February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March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HO – KMI Sales Invoice April 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May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June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July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August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September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October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November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HO – KMI Sales Invoice December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CO – KMI Sales Invoice January - December</w:t>
            </w:r>
          </w:p>
          <w:p w:rsidR="00CF7002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Summary of Sales Copy and Receiving copy</w:t>
            </w:r>
          </w:p>
          <w:p w:rsidR="008D5D13" w:rsidRPr="003B6EF4" w:rsidRDefault="008D5D13" w:rsidP="00B813AA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Credit Memo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02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F7044D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CF7002" w:rsidRDefault="00F7044D" w:rsidP="00F7044D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CF7002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2021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  <w:p w:rsidR="008D5D13" w:rsidRDefault="008D5D13" w:rsidP="008D5D13">
            <w:pPr>
              <w:pStyle w:val="NoSpacing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2022</w:t>
            </w:r>
          </w:p>
        </w:tc>
      </w:tr>
    </w:tbl>
    <w:p w:rsidR="00CF7002" w:rsidRDefault="00CF7002" w:rsidP="00CF700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5684"/>
        <w:gridCol w:w="5508"/>
      </w:tblGrid>
      <w:tr w:rsidR="00CF7002" w:rsidTr="00B813AA">
        <w:trPr>
          <w:trHeight w:val="445"/>
        </w:trPr>
        <w:tc>
          <w:tcPr>
            <w:tcW w:w="11192" w:type="dxa"/>
            <w:gridSpan w:val="2"/>
          </w:tcPr>
          <w:p w:rsidR="00CF7002" w:rsidRPr="008D5D13" w:rsidRDefault="00CF7002" w:rsidP="00B81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D13">
              <w:rPr>
                <w:rFonts w:asciiTheme="minorHAnsi" w:hAnsiTheme="minorHAnsi" w:cstheme="minorHAnsi"/>
                <w:b/>
                <w:sz w:val="24"/>
                <w:szCs w:val="24"/>
              </w:rPr>
              <w:t>Remarks:</w:t>
            </w:r>
          </w:p>
        </w:tc>
      </w:tr>
      <w:tr w:rsidR="00CF7002" w:rsidTr="00B813AA">
        <w:tc>
          <w:tcPr>
            <w:tcW w:w="5684" w:type="dxa"/>
          </w:tcPr>
          <w:p w:rsidR="00CF7002" w:rsidRPr="008D5D13" w:rsidRDefault="00CF7002" w:rsidP="00B813AA">
            <w:pPr>
              <w:tabs>
                <w:tab w:val="left" w:pos="3261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 id="_x0000_s1037" type="#_x0000_t32" style="position:absolute;margin-left:70.45pt;margin-top:13.45pt;width:160.55pt;height:.05pt;z-index:251670528;mso-position-horizontal-relative:text;mso-position-vertical-relative:text" o:connectortype="straight" wrapcoords="1 1 215 1 215 1 1 1 1 1"/>
              </w:pict>
            </w: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840105</wp:posOffset>
                  </wp:positionH>
                  <wp:positionV relativeFrom="paragraph">
                    <wp:posOffset>391160</wp:posOffset>
                  </wp:positionV>
                  <wp:extent cx="1851660" cy="210185"/>
                  <wp:effectExtent l="19050" t="0" r="0" b="0"/>
                  <wp:wrapThrough wrapText="bothSides">
                    <wp:wrapPolygon edited="0">
                      <wp:start x="-222" y="0"/>
                      <wp:lineTo x="-222" y="17619"/>
                      <wp:lineTo x="21556" y="17619"/>
                      <wp:lineTo x="21556" y="0"/>
                      <wp:lineTo x="-222" y="0"/>
                    </wp:wrapPolygon>
                  </wp:wrapThrough>
                  <wp:docPr id="53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 id="_x0000_s1036" type="#_x0000_t202" style="position:absolute;margin-left:82.05pt;margin-top:13.45pt;width:131.6pt;height:19.05pt;z-index:251669504;mso-position-horizontal-relative:text;mso-position-vertical-relative:text" strokecolor="white [3212]">
                  <v:textbox>
                    <w:txbxContent>
                      <w:p w:rsidR="00CF7002" w:rsidRDefault="00CF7002" w:rsidP="00CF7002">
                        <w:proofErr w:type="spellStart"/>
                        <w:r>
                          <w:t>Donnabel</w:t>
                        </w:r>
                        <w:proofErr w:type="spellEnd"/>
                        <w:r>
                          <w:t xml:space="preserve"> B. </w:t>
                        </w:r>
                        <w:proofErr w:type="spellStart"/>
                        <w:r>
                          <w:t>Dela</w:t>
                        </w:r>
                        <w:proofErr w:type="spellEnd"/>
                        <w:r>
                          <w:t xml:space="preserve"> Rosa</w:t>
                        </w:r>
                      </w:p>
                    </w:txbxContent>
                  </v:textbox>
                </v:shape>
              </w:pict>
            </w:r>
            <w:r w:rsidRPr="008D5D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Prepared by: </w:t>
            </w:r>
            <w:r w:rsidRPr="008D5D13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="00CF7002" w:rsidRPr="008D5D13" w:rsidRDefault="00CF7002" w:rsidP="00B81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508" w:type="dxa"/>
          </w:tcPr>
          <w:p w:rsidR="00CF7002" w:rsidRPr="008D5D13" w:rsidRDefault="00CF7002" w:rsidP="00B813A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 id="_x0000_s1038" type="#_x0000_t202" style="position:absolute;margin-left:90.4pt;margin-top:13.5pt;width:131.6pt;height:19.05pt;z-index:251671552;mso-position-horizontal-relative:text;mso-position-vertical-relative:text" strokecolor="white [3212]">
                  <v:textbox>
                    <w:txbxContent>
                      <w:p w:rsidR="00CF7002" w:rsidRDefault="00CF7002" w:rsidP="00CF7002">
                        <w:r>
                          <w:t>Mart Nathaniel R. Flores</w:t>
                        </w:r>
                      </w:p>
                    </w:txbxContent>
                  </v:textbox>
                </v:shape>
              </w:pict>
            </w: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 id="_x0000_s1035" type="#_x0000_t202" style="position:absolute;margin-left:111.5pt;margin-top:25.5pt;width:131.6pt;height:19.05pt;z-index:251667456;mso-position-horizontal-relative:text;mso-position-vertical-relative:text" strokecolor="white [3212]">
                  <v:textbox>
                    <w:txbxContent>
                      <w:p w:rsidR="00CF7002" w:rsidRDefault="00CF7002" w:rsidP="00CF7002">
                        <w:r>
                          <w:t>KMI Supervisor</w:t>
                        </w:r>
                      </w:p>
                    </w:txbxContent>
                  </v:textbox>
                </v:shape>
              </w:pict>
            </w:r>
            <w:r w:rsidRPr="008D5D13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pict>
                <v:shape id="_x0000_s1039" type="#_x0000_t32" style="position:absolute;margin-left:79.65pt;margin-top:13.45pt;width:160.55pt;height:0;z-index:251672576;mso-position-horizontal-relative:text;mso-position-vertical-relative:text" o:connectortype="straight"/>
              </w:pict>
            </w:r>
            <w:r w:rsidRPr="008D5D13">
              <w:rPr>
                <w:rFonts w:asciiTheme="minorHAnsi" w:hAnsiTheme="minorHAnsi" w:cstheme="minorHAnsi"/>
                <w:b/>
                <w:sz w:val="24"/>
                <w:szCs w:val="24"/>
              </w:rPr>
              <w:t>Approved by:</w:t>
            </w:r>
          </w:p>
        </w:tc>
      </w:tr>
    </w:tbl>
    <w:p w:rsidR="00150D36" w:rsidRPr="003B6EF4" w:rsidRDefault="00150D36" w:rsidP="00150D36">
      <w:pPr>
        <w:rPr>
          <w:rFonts w:asciiTheme="minorHAnsi" w:hAnsiTheme="minorHAnsi" w:cstheme="minorHAnsi"/>
          <w:sz w:val="24"/>
          <w:szCs w:val="24"/>
        </w:rPr>
      </w:pPr>
    </w:p>
    <w:sectPr w:rsidR="00150D36" w:rsidRPr="003B6EF4" w:rsidSect="00CF7002">
      <w:pgSz w:w="12240" w:h="15840"/>
      <w:pgMar w:top="567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2D62"/>
    <w:multiLevelType w:val="hybridMultilevel"/>
    <w:tmpl w:val="76E84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0D43"/>
    <w:multiLevelType w:val="hybridMultilevel"/>
    <w:tmpl w:val="DBBC6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6D99"/>
    <w:multiLevelType w:val="hybridMultilevel"/>
    <w:tmpl w:val="DBBC6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E5EF7"/>
    <w:multiLevelType w:val="hybridMultilevel"/>
    <w:tmpl w:val="E0DA9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B6EF4"/>
    <w:rsid w:val="00150D36"/>
    <w:rsid w:val="003B6EF4"/>
    <w:rsid w:val="003C1A79"/>
    <w:rsid w:val="008D5D13"/>
    <w:rsid w:val="00B90C6D"/>
    <w:rsid w:val="00BF3374"/>
    <w:rsid w:val="00CF7002"/>
    <w:rsid w:val="00D6356B"/>
    <w:rsid w:val="00F7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3212]" strokecolor="none [3212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37"/>
        <o:r id="V:Rule5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EF4"/>
    <w:pPr>
      <w:spacing w:before="100" w:beforeAutospacing="1" w:line="273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3B6EF4"/>
    <w:pPr>
      <w:spacing w:before="0" w:beforeAutospacing="0"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E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F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0D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2</cp:revision>
  <dcterms:created xsi:type="dcterms:W3CDTF">2025-08-30T05:12:00Z</dcterms:created>
  <dcterms:modified xsi:type="dcterms:W3CDTF">2025-08-30T06:21:00Z</dcterms:modified>
</cp:coreProperties>
</file>