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AB" w:rsidRPr="0018705D" w:rsidRDefault="008311B2" w:rsidP="00C21B01">
      <w:pPr>
        <w:jc w:val="center"/>
        <w:rPr>
          <w:b/>
          <w:bCs/>
        </w:rPr>
      </w:pPr>
      <w:r>
        <w:rPr>
          <w:b/>
          <w:bCs/>
        </w:rPr>
        <w:t>KOLIN MARKETING</w:t>
      </w:r>
      <w:r w:rsidR="009F1139">
        <w:rPr>
          <w:b/>
          <w:bCs/>
        </w:rPr>
        <w:t xml:space="preserve">, </w:t>
      </w:r>
      <w:r w:rsidR="00764C0D">
        <w:rPr>
          <w:b/>
          <w:bCs/>
        </w:rPr>
        <w:t>INC.</w:t>
      </w:r>
    </w:p>
    <w:p w:rsidR="00171F20" w:rsidRPr="00F04644" w:rsidRDefault="0018705D" w:rsidP="00C21B01">
      <w:pPr>
        <w:jc w:val="center"/>
        <w:rPr>
          <w:b/>
          <w:bCs/>
          <w:sz w:val="20"/>
          <w:szCs w:val="20"/>
        </w:rPr>
      </w:pPr>
      <w:r>
        <w:rPr>
          <w:b/>
          <w:bCs/>
          <w:sz w:val="20"/>
          <w:szCs w:val="20"/>
        </w:rPr>
        <w:t>NOTES TO FINANCIAL STATEMENTS</w:t>
      </w:r>
    </w:p>
    <w:p w:rsidR="00171F20" w:rsidRPr="00F04644" w:rsidRDefault="008311B2" w:rsidP="00C21B01">
      <w:pPr>
        <w:jc w:val="center"/>
        <w:rPr>
          <w:b/>
          <w:bCs/>
          <w:sz w:val="20"/>
          <w:szCs w:val="20"/>
        </w:rPr>
      </w:pPr>
      <w:r>
        <w:rPr>
          <w:b/>
          <w:bCs/>
          <w:sz w:val="20"/>
          <w:szCs w:val="20"/>
        </w:rPr>
        <w:t>DECEMBER 31, 2013</w:t>
      </w:r>
    </w:p>
    <w:p w:rsidR="0098403A" w:rsidRPr="00F04644" w:rsidRDefault="002254BF" w:rsidP="002254BF">
      <w:pPr>
        <w:tabs>
          <w:tab w:val="left" w:pos="7980"/>
        </w:tabs>
        <w:jc w:val="both"/>
        <w:rPr>
          <w:b/>
          <w:bCs/>
          <w:sz w:val="20"/>
          <w:szCs w:val="20"/>
        </w:rPr>
      </w:pPr>
      <w:r>
        <w:rPr>
          <w:b/>
          <w:bCs/>
          <w:sz w:val="20"/>
          <w:szCs w:val="20"/>
        </w:rPr>
        <w:tab/>
      </w:r>
    </w:p>
    <w:p w:rsidR="00171F20" w:rsidRPr="00F04644" w:rsidRDefault="00171F20" w:rsidP="00171F20">
      <w:pPr>
        <w:jc w:val="both"/>
        <w:rPr>
          <w:b/>
          <w:bCs/>
          <w:sz w:val="20"/>
          <w:szCs w:val="20"/>
        </w:rPr>
      </w:pPr>
    </w:p>
    <w:p w:rsidR="00171F20" w:rsidRPr="00F36110" w:rsidRDefault="00F24920" w:rsidP="007A4CD3">
      <w:pPr>
        <w:numPr>
          <w:ilvl w:val="0"/>
          <w:numId w:val="29"/>
        </w:numPr>
        <w:tabs>
          <w:tab w:val="left" w:pos="540"/>
        </w:tabs>
        <w:ind w:left="547" w:hanging="540"/>
        <w:jc w:val="both"/>
        <w:rPr>
          <w:b/>
          <w:bCs/>
          <w:sz w:val="20"/>
          <w:szCs w:val="20"/>
        </w:rPr>
      </w:pPr>
      <w:r w:rsidRPr="00F36110">
        <w:rPr>
          <w:b/>
          <w:bCs/>
          <w:sz w:val="20"/>
          <w:szCs w:val="20"/>
        </w:rPr>
        <w:t>Corporate</w:t>
      </w:r>
      <w:r w:rsidR="00171F20" w:rsidRPr="00F36110">
        <w:rPr>
          <w:b/>
          <w:bCs/>
          <w:sz w:val="20"/>
          <w:szCs w:val="20"/>
        </w:rPr>
        <w:t xml:space="preserve"> Information</w:t>
      </w:r>
    </w:p>
    <w:p w:rsidR="0098403A" w:rsidRPr="00F04644" w:rsidRDefault="0098403A" w:rsidP="007A4CD3">
      <w:pPr>
        <w:ind w:left="547"/>
        <w:jc w:val="both"/>
        <w:rPr>
          <w:sz w:val="20"/>
          <w:szCs w:val="20"/>
        </w:rPr>
      </w:pPr>
    </w:p>
    <w:p w:rsidR="0098403A" w:rsidRPr="00222C3F" w:rsidRDefault="008311B2" w:rsidP="007A4CD3">
      <w:pPr>
        <w:ind w:left="547"/>
        <w:jc w:val="both"/>
        <w:rPr>
          <w:sz w:val="20"/>
          <w:szCs w:val="20"/>
        </w:rPr>
      </w:pPr>
      <w:proofErr w:type="spellStart"/>
      <w:r>
        <w:rPr>
          <w:sz w:val="20"/>
          <w:szCs w:val="20"/>
        </w:rPr>
        <w:t>Kolin</w:t>
      </w:r>
      <w:proofErr w:type="spellEnd"/>
      <w:r>
        <w:rPr>
          <w:sz w:val="20"/>
          <w:szCs w:val="20"/>
        </w:rPr>
        <w:t xml:space="preserve"> Marketing</w:t>
      </w:r>
      <w:r w:rsidR="00AB5E0E">
        <w:rPr>
          <w:sz w:val="20"/>
          <w:szCs w:val="20"/>
        </w:rPr>
        <w:t>, Inc.</w:t>
      </w:r>
      <w:r w:rsidR="00F442E9">
        <w:rPr>
          <w:sz w:val="20"/>
          <w:szCs w:val="20"/>
        </w:rPr>
        <w:t xml:space="preserve"> </w:t>
      </w:r>
      <w:r w:rsidR="002334DD">
        <w:rPr>
          <w:sz w:val="20"/>
          <w:szCs w:val="20"/>
        </w:rPr>
        <w:t xml:space="preserve"> </w:t>
      </w:r>
      <w:proofErr w:type="gramStart"/>
      <w:r w:rsidR="00171F20" w:rsidRPr="00F04644">
        <w:rPr>
          <w:sz w:val="20"/>
          <w:szCs w:val="20"/>
        </w:rPr>
        <w:t>was</w:t>
      </w:r>
      <w:proofErr w:type="gramEnd"/>
      <w:r w:rsidR="0098403A" w:rsidRPr="00F04644">
        <w:rPr>
          <w:sz w:val="20"/>
          <w:szCs w:val="20"/>
        </w:rPr>
        <w:t xml:space="preserve"> </w:t>
      </w:r>
      <w:r w:rsidR="002334DD">
        <w:rPr>
          <w:sz w:val="20"/>
          <w:szCs w:val="20"/>
        </w:rPr>
        <w:t>incorporated</w:t>
      </w:r>
      <w:r w:rsidR="0098403A" w:rsidRPr="00F04644">
        <w:rPr>
          <w:sz w:val="20"/>
          <w:szCs w:val="20"/>
        </w:rPr>
        <w:t xml:space="preserve"> </w:t>
      </w:r>
      <w:r w:rsidR="00171F20" w:rsidRPr="00F04644">
        <w:rPr>
          <w:sz w:val="20"/>
          <w:szCs w:val="20"/>
        </w:rPr>
        <w:t xml:space="preserve">and </w:t>
      </w:r>
      <w:r w:rsidR="0098403A" w:rsidRPr="00F04644">
        <w:rPr>
          <w:sz w:val="20"/>
          <w:szCs w:val="20"/>
        </w:rPr>
        <w:t xml:space="preserve">registered </w:t>
      </w:r>
      <w:r w:rsidR="00171F20" w:rsidRPr="00F04644">
        <w:rPr>
          <w:sz w:val="20"/>
          <w:szCs w:val="20"/>
        </w:rPr>
        <w:t xml:space="preserve">in the Philippines </w:t>
      </w:r>
      <w:r w:rsidR="0098403A" w:rsidRPr="00F04644">
        <w:rPr>
          <w:sz w:val="20"/>
          <w:szCs w:val="20"/>
        </w:rPr>
        <w:t>with the Securities and Exchange Commission (SEC)</w:t>
      </w:r>
      <w:r w:rsidR="006A241A" w:rsidRPr="00F04644">
        <w:rPr>
          <w:sz w:val="20"/>
          <w:szCs w:val="20"/>
        </w:rPr>
        <w:t xml:space="preserve"> on </w:t>
      </w:r>
      <w:r>
        <w:rPr>
          <w:sz w:val="20"/>
          <w:szCs w:val="20"/>
        </w:rPr>
        <w:t>May 14, 1996</w:t>
      </w:r>
      <w:r w:rsidR="006A241A" w:rsidRPr="00F04644">
        <w:rPr>
          <w:sz w:val="20"/>
          <w:szCs w:val="20"/>
        </w:rPr>
        <w:t xml:space="preserve">.  </w:t>
      </w:r>
      <w:r w:rsidR="00CD75EE" w:rsidRPr="00F04644">
        <w:rPr>
          <w:sz w:val="20"/>
          <w:szCs w:val="20"/>
        </w:rPr>
        <w:t>The registration</w:t>
      </w:r>
      <w:r w:rsidR="0098403A" w:rsidRPr="00F04644">
        <w:rPr>
          <w:sz w:val="20"/>
          <w:szCs w:val="20"/>
        </w:rPr>
        <w:t xml:space="preserve"> </w:t>
      </w:r>
      <w:r w:rsidR="006A241A" w:rsidRPr="00F04644">
        <w:rPr>
          <w:sz w:val="20"/>
          <w:szCs w:val="20"/>
        </w:rPr>
        <w:t>n</w:t>
      </w:r>
      <w:r w:rsidR="0098403A" w:rsidRPr="00F04644">
        <w:rPr>
          <w:sz w:val="20"/>
          <w:szCs w:val="20"/>
        </w:rPr>
        <w:t xml:space="preserve">umber </w:t>
      </w:r>
      <w:r w:rsidR="00130213" w:rsidRPr="00F04644">
        <w:rPr>
          <w:sz w:val="20"/>
          <w:szCs w:val="20"/>
        </w:rPr>
        <w:t xml:space="preserve">is </w:t>
      </w:r>
      <w:r>
        <w:rPr>
          <w:sz w:val="20"/>
          <w:szCs w:val="20"/>
        </w:rPr>
        <w:t>CS1996-004967</w:t>
      </w:r>
      <w:r w:rsidR="00764C0D">
        <w:rPr>
          <w:sz w:val="20"/>
          <w:szCs w:val="20"/>
        </w:rPr>
        <w:t>.</w:t>
      </w:r>
    </w:p>
    <w:p w:rsidR="0098403A" w:rsidRPr="00222C3F" w:rsidRDefault="0098403A" w:rsidP="007A4CD3">
      <w:pPr>
        <w:ind w:left="547"/>
        <w:jc w:val="both"/>
        <w:rPr>
          <w:sz w:val="20"/>
          <w:szCs w:val="20"/>
        </w:rPr>
      </w:pPr>
    </w:p>
    <w:p w:rsidR="00AB5E0E" w:rsidRDefault="008311B2" w:rsidP="00520CFD">
      <w:pPr>
        <w:pStyle w:val="BodyText"/>
        <w:ind w:left="547"/>
        <w:jc w:val="both"/>
        <w:rPr>
          <w:sz w:val="20"/>
          <w:szCs w:val="20"/>
        </w:rPr>
      </w:pPr>
      <w:r>
        <w:rPr>
          <w:sz w:val="20"/>
          <w:szCs w:val="20"/>
        </w:rPr>
        <w:t>The primary purpose of the Company is to engage in, conducting, and carrying on the business of selling, dealing in, purchasing and delivering of goods, wares, merchandise and other products.</w:t>
      </w:r>
    </w:p>
    <w:p w:rsidR="008311B2" w:rsidRPr="00222C3F" w:rsidRDefault="008311B2" w:rsidP="00520CFD">
      <w:pPr>
        <w:pStyle w:val="BodyText"/>
        <w:ind w:left="547"/>
        <w:jc w:val="both"/>
        <w:rPr>
          <w:sz w:val="20"/>
          <w:szCs w:val="20"/>
        </w:rPr>
      </w:pPr>
    </w:p>
    <w:p w:rsidR="00572B90" w:rsidRPr="00222C3F" w:rsidRDefault="004D082E" w:rsidP="007A4CD3">
      <w:pPr>
        <w:ind w:left="547"/>
        <w:jc w:val="both"/>
        <w:rPr>
          <w:rFonts w:eastAsia="Arial Unicode MS"/>
          <w:sz w:val="20"/>
          <w:szCs w:val="20"/>
        </w:rPr>
      </w:pPr>
      <w:r w:rsidRPr="00222C3F">
        <w:rPr>
          <w:rFonts w:eastAsia="Arial Unicode MS"/>
          <w:sz w:val="20"/>
          <w:szCs w:val="20"/>
        </w:rPr>
        <w:t xml:space="preserve">The </w:t>
      </w:r>
      <w:r w:rsidR="00EF2935" w:rsidRPr="00222C3F">
        <w:rPr>
          <w:rFonts w:eastAsia="Arial Unicode MS"/>
          <w:sz w:val="20"/>
          <w:szCs w:val="20"/>
        </w:rPr>
        <w:t>registered principal address of the C</w:t>
      </w:r>
      <w:r w:rsidR="00520CFD">
        <w:rPr>
          <w:rFonts w:eastAsia="Arial Unicode MS"/>
          <w:sz w:val="20"/>
          <w:szCs w:val="20"/>
        </w:rPr>
        <w:t>ompany is</w:t>
      </w:r>
      <w:r w:rsidR="008311B2">
        <w:rPr>
          <w:rFonts w:eastAsia="Arial Unicode MS"/>
          <w:sz w:val="20"/>
          <w:szCs w:val="20"/>
        </w:rPr>
        <w:t xml:space="preserve"> located at </w:t>
      </w:r>
      <w:proofErr w:type="spellStart"/>
      <w:r w:rsidR="008311B2">
        <w:rPr>
          <w:rFonts w:eastAsia="Arial Unicode MS"/>
          <w:sz w:val="20"/>
          <w:szCs w:val="20"/>
        </w:rPr>
        <w:t>Kolin</w:t>
      </w:r>
      <w:proofErr w:type="spellEnd"/>
      <w:r w:rsidR="008311B2">
        <w:rPr>
          <w:rFonts w:eastAsia="Arial Unicode MS"/>
          <w:sz w:val="20"/>
          <w:szCs w:val="20"/>
        </w:rPr>
        <w:t xml:space="preserve"> Building, EDSA cor. </w:t>
      </w:r>
      <w:proofErr w:type="spellStart"/>
      <w:r w:rsidR="008311B2">
        <w:rPr>
          <w:rFonts w:eastAsia="Arial Unicode MS"/>
          <w:sz w:val="20"/>
          <w:szCs w:val="20"/>
        </w:rPr>
        <w:t>Magallanes</w:t>
      </w:r>
      <w:proofErr w:type="spellEnd"/>
      <w:r w:rsidR="008311B2">
        <w:rPr>
          <w:rFonts w:eastAsia="Arial Unicode MS"/>
          <w:sz w:val="20"/>
          <w:szCs w:val="20"/>
        </w:rPr>
        <w:t xml:space="preserve"> Avenue, </w:t>
      </w:r>
      <w:proofErr w:type="spellStart"/>
      <w:r w:rsidR="008311B2">
        <w:rPr>
          <w:rFonts w:eastAsia="Arial Unicode MS"/>
          <w:sz w:val="20"/>
          <w:szCs w:val="20"/>
        </w:rPr>
        <w:t>Magallanes</w:t>
      </w:r>
      <w:proofErr w:type="spellEnd"/>
      <w:r w:rsidR="008311B2">
        <w:rPr>
          <w:rFonts w:eastAsia="Arial Unicode MS"/>
          <w:sz w:val="20"/>
          <w:szCs w:val="20"/>
        </w:rPr>
        <w:t xml:space="preserve"> Village, Makati City.</w:t>
      </w:r>
    </w:p>
    <w:p w:rsidR="00E037AB" w:rsidRPr="00222C3F" w:rsidRDefault="00E037AB" w:rsidP="007A4CD3">
      <w:pPr>
        <w:ind w:left="547"/>
        <w:jc w:val="both"/>
        <w:rPr>
          <w:sz w:val="20"/>
          <w:szCs w:val="20"/>
        </w:rPr>
      </w:pPr>
    </w:p>
    <w:p w:rsidR="0098403A" w:rsidRDefault="0098403A" w:rsidP="007A4CD3">
      <w:pPr>
        <w:ind w:left="547"/>
        <w:jc w:val="both"/>
        <w:rPr>
          <w:sz w:val="20"/>
          <w:szCs w:val="20"/>
        </w:rPr>
      </w:pPr>
      <w:r w:rsidRPr="00222C3F">
        <w:rPr>
          <w:sz w:val="20"/>
          <w:szCs w:val="20"/>
        </w:rPr>
        <w:t>The financial</w:t>
      </w:r>
      <w:r w:rsidRPr="00F04644">
        <w:rPr>
          <w:sz w:val="20"/>
          <w:szCs w:val="20"/>
        </w:rPr>
        <w:t xml:space="preserve"> statements of the </w:t>
      </w:r>
      <w:r w:rsidR="00EF2935" w:rsidRPr="00F04644">
        <w:rPr>
          <w:sz w:val="20"/>
          <w:szCs w:val="20"/>
        </w:rPr>
        <w:t>C</w:t>
      </w:r>
      <w:r w:rsidRPr="00F04644">
        <w:rPr>
          <w:sz w:val="20"/>
          <w:szCs w:val="20"/>
        </w:rPr>
        <w:t xml:space="preserve">ompany for </w:t>
      </w:r>
      <w:r w:rsidR="00F448DE" w:rsidRPr="00F04644">
        <w:rPr>
          <w:sz w:val="20"/>
          <w:szCs w:val="20"/>
        </w:rPr>
        <w:t>the year ended December 31, 20</w:t>
      </w:r>
      <w:r w:rsidR="008311B2">
        <w:rPr>
          <w:sz w:val="20"/>
          <w:szCs w:val="20"/>
        </w:rPr>
        <w:t>13</w:t>
      </w:r>
      <w:r w:rsidR="00F448DE" w:rsidRPr="00F04644">
        <w:rPr>
          <w:sz w:val="20"/>
          <w:szCs w:val="20"/>
        </w:rPr>
        <w:t xml:space="preserve"> </w:t>
      </w:r>
      <w:r w:rsidRPr="00F04644">
        <w:rPr>
          <w:sz w:val="20"/>
          <w:szCs w:val="20"/>
        </w:rPr>
        <w:t xml:space="preserve">were </w:t>
      </w:r>
      <w:r w:rsidR="00935263" w:rsidRPr="00F04644">
        <w:rPr>
          <w:sz w:val="20"/>
          <w:szCs w:val="20"/>
        </w:rPr>
        <w:t xml:space="preserve">authorized for issue by the </w:t>
      </w:r>
      <w:r w:rsidR="00572B90">
        <w:rPr>
          <w:sz w:val="20"/>
          <w:szCs w:val="20"/>
        </w:rPr>
        <w:t>Board of Directors</w:t>
      </w:r>
      <w:r w:rsidR="00D944C9">
        <w:rPr>
          <w:sz w:val="20"/>
          <w:szCs w:val="20"/>
        </w:rPr>
        <w:t xml:space="preserve"> on March 17</w:t>
      </w:r>
      <w:r w:rsidR="008311B2">
        <w:rPr>
          <w:sz w:val="20"/>
          <w:szCs w:val="20"/>
        </w:rPr>
        <w:t>, 2014</w:t>
      </w:r>
      <w:r w:rsidRPr="00F04644">
        <w:rPr>
          <w:sz w:val="20"/>
          <w:szCs w:val="20"/>
        </w:rPr>
        <w:t>.</w:t>
      </w:r>
      <w:r w:rsidR="00763045" w:rsidRPr="00F04644">
        <w:rPr>
          <w:sz w:val="20"/>
          <w:szCs w:val="20"/>
        </w:rPr>
        <w:t xml:space="preserve"> The </w:t>
      </w:r>
      <w:r w:rsidR="00572B90">
        <w:rPr>
          <w:sz w:val="20"/>
          <w:szCs w:val="20"/>
        </w:rPr>
        <w:t>Board of Directors</w:t>
      </w:r>
      <w:r w:rsidR="00763045" w:rsidRPr="00F04644">
        <w:rPr>
          <w:sz w:val="20"/>
          <w:szCs w:val="20"/>
        </w:rPr>
        <w:t xml:space="preserve"> is still empowered to make amendments even after the date of issue.</w:t>
      </w:r>
    </w:p>
    <w:p w:rsidR="00224AEB" w:rsidRDefault="00224AEB" w:rsidP="007A4CD3">
      <w:pPr>
        <w:ind w:left="547"/>
        <w:jc w:val="both"/>
        <w:rPr>
          <w:sz w:val="20"/>
          <w:szCs w:val="20"/>
        </w:rPr>
      </w:pPr>
    </w:p>
    <w:p w:rsidR="00EF2935" w:rsidRPr="00F36110" w:rsidRDefault="008311B2" w:rsidP="007A4CD3">
      <w:pPr>
        <w:pStyle w:val="Heading1"/>
        <w:numPr>
          <w:ilvl w:val="0"/>
          <w:numId w:val="29"/>
        </w:numPr>
        <w:tabs>
          <w:tab w:val="left" w:pos="540"/>
        </w:tabs>
        <w:ind w:left="547" w:hanging="540"/>
        <w:jc w:val="both"/>
        <w:rPr>
          <w:sz w:val="20"/>
          <w:szCs w:val="20"/>
        </w:rPr>
      </w:pPr>
      <w:r>
        <w:rPr>
          <w:sz w:val="20"/>
          <w:szCs w:val="20"/>
        </w:rPr>
        <w:t>Basic of Preparation</w:t>
      </w:r>
    </w:p>
    <w:p w:rsidR="00EF2935" w:rsidRPr="00F36110" w:rsidRDefault="00EF2935" w:rsidP="007A4CD3">
      <w:pPr>
        <w:ind w:left="547"/>
        <w:rPr>
          <w:sz w:val="20"/>
          <w:szCs w:val="20"/>
        </w:rPr>
      </w:pPr>
    </w:p>
    <w:p w:rsidR="00EC1978" w:rsidRPr="00F36110" w:rsidRDefault="00EC1978" w:rsidP="007A4CD3">
      <w:pPr>
        <w:autoSpaceDE w:val="0"/>
        <w:autoSpaceDN w:val="0"/>
        <w:adjustRightInd w:val="0"/>
        <w:ind w:left="547"/>
        <w:jc w:val="both"/>
        <w:rPr>
          <w:b/>
          <w:bCs/>
          <w:color w:val="000000"/>
          <w:sz w:val="20"/>
          <w:szCs w:val="20"/>
        </w:rPr>
      </w:pPr>
      <w:r w:rsidRPr="00F36110">
        <w:rPr>
          <w:b/>
          <w:bCs/>
          <w:color w:val="000000"/>
          <w:sz w:val="20"/>
          <w:szCs w:val="20"/>
        </w:rPr>
        <w:t>Statement of Compliance</w:t>
      </w:r>
    </w:p>
    <w:p w:rsidR="00463F1C" w:rsidRPr="00F04644" w:rsidRDefault="00463F1C" w:rsidP="007A4CD3">
      <w:pPr>
        <w:autoSpaceDE w:val="0"/>
        <w:autoSpaceDN w:val="0"/>
        <w:adjustRightInd w:val="0"/>
        <w:ind w:left="547"/>
        <w:jc w:val="both"/>
        <w:rPr>
          <w:i/>
          <w:sz w:val="20"/>
          <w:szCs w:val="20"/>
        </w:rPr>
      </w:pPr>
    </w:p>
    <w:p w:rsidR="00EC1978" w:rsidRDefault="00EC1978" w:rsidP="00D95243">
      <w:pPr>
        <w:pStyle w:val="BodyTextIndent3"/>
        <w:spacing w:after="0"/>
        <w:ind w:left="547"/>
        <w:jc w:val="both"/>
        <w:rPr>
          <w:sz w:val="20"/>
          <w:szCs w:val="20"/>
        </w:rPr>
      </w:pPr>
      <w:r w:rsidRPr="00F04644">
        <w:rPr>
          <w:sz w:val="20"/>
          <w:szCs w:val="20"/>
        </w:rPr>
        <w:t xml:space="preserve">The accompanying financial statements have been prepared in accordance with Philippine Financial Reporting Standards </w:t>
      </w:r>
      <w:r w:rsidR="0067004A" w:rsidRPr="00F04644">
        <w:rPr>
          <w:sz w:val="20"/>
          <w:szCs w:val="20"/>
        </w:rPr>
        <w:t xml:space="preserve">for Small and Medium Sized Enterprise </w:t>
      </w:r>
      <w:r w:rsidRPr="00F04644">
        <w:rPr>
          <w:sz w:val="20"/>
          <w:szCs w:val="20"/>
        </w:rPr>
        <w:t>(PFRS</w:t>
      </w:r>
      <w:r w:rsidR="004B3FE3" w:rsidRPr="00F04644">
        <w:rPr>
          <w:sz w:val="20"/>
          <w:szCs w:val="20"/>
        </w:rPr>
        <w:t xml:space="preserve"> for SMEs</w:t>
      </w:r>
      <w:r w:rsidRPr="00F04644">
        <w:rPr>
          <w:sz w:val="20"/>
          <w:szCs w:val="20"/>
        </w:rPr>
        <w:t>).</w:t>
      </w:r>
      <w:r w:rsidR="00D95243">
        <w:rPr>
          <w:sz w:val="20"/>
          <w:szCs w:val="20"/>
        </w:rPr>
        <w:t xml:space="preserve">  The financial statements have been prepared using the measurement bases specified by PFRS for SMEs for each type of assets, liabilities, and income and expense.  The measurement bases are more fully described in the accounting policies in the succeeding pages.</w:t>
      </w:r>
    </w:p>
    <w:p w:rsidR="00D95243" w:rsidRDefault="00D95243" w:rsidP="00D95243">
      <w:pPr>
        <w:pStyle w:val="BodyTextIndent3"/>
        <w:spacing w:after="0"/>
        <w:ind w:left="547"/>
        <w:jc w:val="both"/>
        <w:rPr>
          <w:sz w:val="20"/>
          <w:szCs w:val="20"/>
        </w:rPr>
      </w:pPr>
    </w:p>
    <w:p w:rsidR="00D95243" w:rsidRDefault="00D95243" w:rsidP="00D95243">
      <w:pPr>
        <w:pStyle w:val="BodyTextIndent3"/>
        <w:spacing w:after="0"/>
        <w:ind w:left="547"/>
        <w:jc w:val="both"/>
        <w:rPr>
          <w:sz w:val="20"/>
          <w:szCs w:val="20"/>
        </w:rPr>
      </w:pPr>
      <w:r>
        <w:rPr>
          <w:sz w:val="20"/>
          <w:szCs w:val="20"/>
        </w:rPr>
        <w:t xml:space="preserve">The preparation of financial statements in accordance with PFRS for SMEs requires the use of certain critical accounting estimates.  It also requires management to exercise its judgment in the process of applying the Company’s accounting policies.  Areas involving a degree of judgment or complexity, or areas where assumptions and estimations are significant to the financial statements are disclosed in </w:t>
      </w:r>
      <w:r w:rsidR="008004D4">
        <w:rPr>
          <w:sz w:val="20"/>
          <w:szCs w:val="20"/>
        </w:rPr>
        <w:t>(Note 3).</w:t>
      </w:r>
    </w:p>
    <w:p w:rsidR="00D95243" w:rsidRDefault="00D95243" w:rsidP="00D95243">
      <w:pPr>
        <w:pStyle w:val="BodyTextIndent3"/>
        <w:spacing w:after="0"/>
        <w:ind w:left="547"/>
        <w:jc w:val="both"/>
        <w:rPr>
          <w:sz w:val="20"/>
          <w:szCs w:val="20"/>
        </w:rPr>
      </w:pPr>
    </w:p>
    <w:p w:rsidR="00D95243" w:rsidRPr="00150210" w:rsidRDefault="00D95243" w:rsidP="00D95243">
      <w:pPr>
        <w:pStyle w:val="BodyTextIndent3"/>
        <w:spacing w:after="0"/>
        <w:ind w:left="547"/>
        <w:jc w:val="both"/>
        <w:rPr>
          <w:b/>
          <w:sz w:val="20"/>
          <w:szCs w:val="20"/>
        </w:rPr>
      </w:pPr>
      <w:r w:rsidRPr="00150210">
        <w:rPr>
          <w:b/>
          <w:sz w:val="20"/>
          <w:szCs w:val="20"/>
        </w:rPr>
        <w:t>Basis of Measurement</w:t>
      </w:r>
    </w:p>
    <w:p w:rsidR="00150210" w:rsidRDefault="00150210" w:rsidP="00D95243">
      <w:pPr>
        <w:pStyle w:val="BodyTextIndent3"/>
        <w:spacing w:after="0"/>
        <w:ind w:left="547"/>
        <w:jc w:val="both"/>
        <w:rPr>
          <w:sz w:val="20"/>
          <w:szCs w:val="20"/>
        </w:rPr>
      </w:pPr>
    </w:p>
    <w:p w:rsidR="00150210" w:rsidRDefault="00150210" w:rsidP="00D95243">
      <w:pPr>
        <w:pStyle w:val="BodyTextIndent3"/>
        <w:spacing w:after="0"/>
        <w:ind w:left="547"/>
        <w:jc w:val="both"/>
        <w:rPr>
          <w:sz w:val="20"/>
          <w:szCs w:val="20"/>
        </w:rPr>
      </w:pPr>
      <w:r>
        <w:rPr>
          <w:sz w:val="20"/>
          <w:szCs w:val="20"/>
        </w:rPr>
        <w:t>The financial statements have been prepared on historical cost basis of accounting.</w:t>
      </w:r>
    </w:p>
    <w:p w:rsidR="00150210" w:rsidRDefault="00150210" w:rsidP="00D95243">
      <w:pPr>
        <w:pStyle w:val="BodyTextIndent3"/>
        <w:spacing w:after="0"/>
        <w:ind w:left="547"/>
        <w:jc w:val="both"/>
        <w:rPr>
          <w:sz w:val="20"/>
          <w:szCs w:val="20"/>
        </w:rPr>
      </w:pPr>
    </w:p>
    <w:p w:rsidR="00150210" w:rsidRDefault="00150210" w:rsidP="00D95243">
      <w:pPr>
        <w:pStyle w:val="BodyTextIndent3"/>
        <w:spacing w:after="0"/>
        <w:ind w:left="547"/>
        <w:jc w:val="both"/>
        <w:rPr>
          <w:b/>
          <w:sz w:val="20"/>
          <w:szCs w:val="20"/>
        </w:rPr>
      </w:pPr>
      <w:r w:rsidRPr="00150210">
        <w:rPr>
          <w:b/>
          <w:sz w:val="20"/>
          <w:szCs w:val="20"/>
        </w:rPr>
        <w:t>Presentation of Statements of Income and Statements of Changes in Equity</w:t>
      </w:r>
    </w:p>
    <w:p w:rsidR="00150210" w:rsidRDefault="00150210" w:rsidP="00D95243">
      <w:pPr>
        <w:pStyle w:val="BodyTextIndent3"/>
        <w:spacing w:after="0"/>
        <w:ind w:left="547"/>
        <w:jc w:val="both"/>
        <w:rPr>
          <w:b/>
          <w:sz w:val="20"/>
          <w:szCs w:val="20"/>
        </w:rPr>
      </w:pPr>
    </w:p>
    <w:p w:rsidR="00150210" w:rsidRPr="00150210" w:rsidRDefault="00150210" w:rsidP="00D95243">
      <w:pPr>
        <w:pStyle w:val="BodyTextIndent3"/>
        <w:spacing w:after="0"/>
        <w:ind w:left="547"/>
        <w:jc w:val="both"/>
        <w:rPr>
          <w:sz w:val="20"/>
          <w:szCs w:val="20"/>
        </w:rPr>
      </w:pPr>
      <w:r w:rsidRPr="00150210">
        <w:rPr>
          <w:sz w:val="20"/>
          <w:szCs w:val="20"/>
        </w:rPr>
        <w:t xml:space="preserve">The Company opted to present </w:t>
      </w:r>
      <w:proofErr w:type="gramStart"/>
      <w:r w:rsidRPr="00150210">
        <w:rPr>
          <w:sz w:val="20"/>
          <w:szCs w:val="20"/>
        </w:rPr>
        <w:t>a separate statements</w:t>
      </w:r>
      <w:proofErr w:type="gramEnd"/>
      <w:r w:rsidRPr="00150210">
        <w:rPr>
          <w:sz w:val="20"/>
          <w:szCs w:val="20"/>
        </w:rPr>
        <w:t xml:space="preserve"> of income and a separate statements of changes in equity even when the changes to equity during the years presented arise only from profit or loss.</w:t>
      </w:r>
    </w:p>
    <w:p w:rsidR="00D95243" w:rsidRPr="00150210" w:rsidRDefault="00D95243" w:rsidP="00D95243">
      <w:pPr>
        <w:pStyle w:val="BodyTextIndent3"/>
        <w:spacing w:after="0"/>
        <w:ind w:left="547"/>
        <w:jc w:val="both"/>
        <w:rPr>
          <w:b/>
          <w:sz w:val="20"/>
          <w:szCs w:val="20"/>
        </w:rPr>
      </w:pPr>
    </w:p>
    <w:p w:rsidR="00D95243" w:rsidRPr="00F000CE" w:rsidRDefault="00F000CE" w:rsidP="00D95243">
      <w:pPr>
        <w:pStyle w:val="BodyTextIndent3"/>
        <w:spacing w:after="0"/>
        <w:ind w:left="547"/>
        <w:jc w:val="both"/>
        <w:rPr>
          <w:b/>
          <w:sz w:val="20"/>
          <w:szCs w:val="20"/>
        </w:rPr>
      </w:pPr>
      <w:r w:rsidRPr="00F000CE">
        <w:rPr>
          <w:b/>
          <w:sz w:val="20"/>
          <w:szCs w:val="20"/>
        </w:rPr>
        <w:t>Functional and Presentation Currency</w:t>
      </w:r>
    </w:p>
    <w:p w:rsidR="00F000CE" w:rsidRDefault="00F000CE" w:rsidP="00D95243">
      <w:pPr>
        <w:pStyle w:val="BodyTextIndent3"/>
        <w:spacing w:after="0"/>
        <w:ind w:left="547"/>
        <w:jc w:val="both"/>
        <w:rPr>
          <w:sz w:val="20"/>
          <w:szCs w:val="20"/>
        </w:rPr>
      </w:pPr>
    </w:p>
    <w:p w:rsidR="00F000CE" w:rsidRPr="00F04644" w:rsidRDefault="00F000CE" w:rsidP="00D95243">
      <w:pPr>
        <w:pStyle w:val="BodyTextIndent3"/>
        <w:spacing w:after="0"/>
        <w:ind w:left="547"/>
        <w:jc w:val="both"/>
        <w:rPr>
          <w:sz w:val="20"/>
          <w:szCs w:val="20"/>
        </w:rPr>
      </w:pPr>
      <w:r>
        <w:rPr>
          <w:sz w:val="20"/>
          <w:szCs w:val="20"/>
        </w:rPr>
        <w:t>The financial statements are presented in Philippine Peso, which is the Company’s functional currency.  All financial information expressed in Philippine Peso has been rounded off to the nearest peso.</w:t>
      </w:r>
    </w:p>
    <w:p w:rsidR="00F04644" w:rsidRPr="00F04644" w:rsidRDefault="00F04644" w:rsidP="00EC5EE6">
      <w:pPr>
        <w:pStyle w:val="BodyTextIndent3"/>
        <w:spacing w:after="0"/>
        <w:ind w:left="547"/>
        <w:jc w:val="both"/>
        <w:rPr>
          <w:sz w:val="20"/>
          <w:szCs w:val="20"/>
        </w:rPr>
      </w:pPr>
    </w:p>
    <w:p w:rsidR="007C486C" w:rsidRPr="00C3173E" w:rsidRDefault="00F000CE" w:rsidP="00214C10">
      <w:pPr>
        <w:ind w:left="547"/>
        <w:jc w:val="both"/>
        <w:rPr>
          <w:b/>
          <w:sz w:val="20"/>
          <w:szCs w:val="20"/>
        </w:rPr>
      </w:pPr>
      <w:r w:rsidRPr="00C3173E">
        <w:rPr>
          <w:b/>
          <w:sz w:val="20"/>
          <w:szCs w:val="20"/>
        </w:rPr>
        <w:t>Use of Estimates and Judgments</w:t>
      </w:r>
    </w:p>
    <w:p w:rsidR="00F000CE" w:rsidRDefault="00F000CE" w:rsidP="00214C10">
      <w:pPr>
        <w:ind w:left="547"/>
        <w:jc w:val="both"/>
        <w:rPr>
          <w:sz w:val="20"/>
          <w:szCs w:val="20"/>
        </w:rPr>
      </w:pPr>
    </w:p>
    <w:p w:rsidR="00F000CE" w:rsidRDefault="00F000CE" w:rsidP="00214C10">
      <w:pPr>
        <w:ind w:left="547"/>
        <w:jc w:val="both"/>
        <w:rPr>
          <w:sz w:val="20"/>
          <w:szCs w:val="20"/>
        </w:rPr>
      </w:pPr>
      <w:r>
        <w:rPr>
          <w:sz w:val="20"/>
          <w:szCs w:val="20"/>
        </w:rPr>
        <w:t>The preparation of the financial statements in conformity with PFRS for SMEs requires management to make judgments, estimates and assumption that effect the application of accounting policies and the amounts reported in the financial statements.  The estimates and assumption</w:t>
      </w:r>
      <w:r w:rsidR="00C3173E">
        <w:rPr>
          <w:sz w:val="20"/>
          <w:szCs w:val="20"/>
        </w:rPr>
        <w:t xml:space="preserve"> used in the financial </w:t>
      </w:r>
      <w:r w:rsidR="00C3173E">
        <w:rPr>
          <w:sz w:val="20"/>
          <w:szCs w:val="20"/>
        </w:rPr>
        <w:lastRenderedPageBreak/>
        <w:t>statements are based on management’s evaluation of relevant facts and circumstances as of the date of the financial statements.  Actual results may differ from such estimates.</w:t>
      </w:r>
    </w:p>
    <w:p w:rsidR="00C3173E" w:rsidRDefault="00C3173E" w:rsidP="00214C10">
      <w:pPr>
        <w:ind w:left="547"/>
        <w:jc w:val="both"/>
        <w:rPr>
          <w:sz w:val="20"/>
          <w:szCs w:val="20"/>
        </w:rPr>
      </w:pPr>
    </w:p>
    <w:p w:rsidR="00C3173E" w:rsidRDefault="00C3173E" w:rsidP="00214C10">
      <w:pPr>
        <w:ind w:left="547"/>
        <w:jc w:val="both"/>
        <w:rPr>
          <w:sz w:val="20"/>
          <w:szCs w:val="20"/>
        </w:rPr>
      </w:pPr>
      <w:r>
        <w:rPr>
          <w:sz w:val="20"/>
          <w:szCs w:val="20"/>
        </w:rPr>
        <w:t>Judgments are made by management on the development, selection and disclosure of the Company’s critical accounting policies and estimates and the application of these policies and estimates.</w:t>
      </w:r>
    </w:p>
    <w:p w:rsidR="00E547A4" w:rsidRDefault="00E547A4" w:rsidP="00E547A4">
      <w:pPr>
        <w:tabs>
          <w:tab w:val="left" w:pos="8190"/>
        </w:tabs>
        <w:ind w:left="547"/>
        <w:jc w:val="both"/>
        <w:rPr>
          <w:sz w:val="20"/>
          <w:szCs w:val="20"/>
        </w:rPr>
      </w:pPr>
      <w:r>
        <w:rPr>
          <w:sz w:val="20"/>
          <w:szCs w:val="20"/>
        </w:rPr>
        <w:tab/>
      </w:r>
    </w:p>
    <w:p w:rsidR="00E547A4" w:rsidRDefault="00E547A4" w:rsidP="00214C10">
      <w:pPr>
        <w:ind w:left="547"/>
        <w:jc w:val="both"/>
        <w:rPr>
          <w:sz w:val="20"/>
          <w:szCs w:val="20"/>
        </w:rPr>
      </w:pPr>
      <w:r>
        <w:rPr>
          <w:sz w:val="20"/>
          <w:szCs w:val="20"/>
        </w:rPr>
        <w:t xml:space="preserve">Estimates and underlying assumptions are reviewed on </w:t>
      </w:r>
      <w:proofErr w:type="gramStart"/>
      <w:r>
        <w:rPr>
          <w:sz w:val="20"/>
          <w:szCs w:val="20"/>
        </w:rPr>
        <w:t>a</w:t>
      </w:r>
      <w:proofErr w:type="gramEnd"/>
      <w:r>
        <w:rPr>
          <w:sz w:val="20"/>
          <w:szCs w:val="20"/>
        </w:rPr>
        <w:t xml:space="preserve"> ongoing basis and are based on historical experience and factors, including expectations of future events that are believed to be reasonable under circumstances.  Revisions to accounting estimates are recognized in the period in which the estimate is revised and any periods affected.</w:t>
      </w:r>
    </w:p>
    <w:p w:rsidR="00E547A4" w:rsidRDefault="00E547A4" w:rsidP="00214C10">
      <w:pPr>
        <w:ind w:left="547"/>
        <w:jc w:val="both"/>
        <w:rPr>
          <w:sz w:val="20"/>
          <w:szCs w:val="20"/>
        </w:rPr>
      </w:pPr>
    </w:p>
    <w:p w:rsidR="00E547A4" w:rsidRDefault="00E547A4" w:rsidP="00214C10">
      <w:pPr>
        <w:ind w:left="547"/>
        <w:jc w:val="both"/>
        <w:rPr>
          <w:sz w:val="20"/>
          <w:szCs w:val="20"/>
        </w:rPr>
      </w:pPr>
      <w:r>
        <w:rPr>
          <w:sz w:val="20"/>
          <w:szCs w:val="20"/>
        </w:rPr>
        <w:t>In particular, the following are the information about significant areas of estimates, uncertainty and critical judgment in applying accounting policies that have the most significant effect on the amounts recognized in the financial statements:</w:t>
      </w:r>
    </w:p>
    <w:p w:rsidR="00C3173E" w:rsidRDefault="00C3173E" w:rsidP="00214C10">
      <w:pPr>
        <w:ind w:left="547"/>
        <w:jc w:val="both"/>
        <w:rPr>
          <w:sz w:val="20"/>
          <w:szCs w:val="20"/>
        </w:rPr>
      </w:pPr>
    </w:p>
    <w:p w:rsidR="00C3173E" w:rsidRPr="002D7132" w:rsidRDefault="00E547A4" w:rsidP="00214C10">
      <w:pPr>
        <w:ind w:left="547"/>
        <w:jc w:val="both"/>
        <w:rPr>
          <w:b/>
          <w:sz w:val="20"/>
          <w:szCs w:val="20"/>
        </w:rPr>
      </w:pPr>
      <w:r w:rsidRPr="002D7132">
        <w:rPr>
          <w:b/>
          <w:sz w:val="20"/>
          <w:szCs w:val="20"/>
        </w:rPr>
        <w:t>Functional Currency</w:t>
      </w:r>
    </w:p>
    <w:p w:rsidR="00E547A4" w:rsidRDefault="00E547A4" w:rsidP="00214C10">
      <w:pPr>
        <w:ind w:left="547"/>
        <w:jc w:val="both"/>
        <w:rPr>
          <w:sz w:val="20"/>
          <w:szCs w:val="20"/>
        </w:rPr>
      </w:pPr>
    </w:p>
    <w:p w:rsidR="00E547A4" w:rsidRDefault="00E547A4" w:rsidP="00214C10">
      <w:pPr>
        <w:ind w:left="547"/>
        <w:jc w:val="both"/>
        <w:rPr>
          <w:sz w:val="20"/>
          <w:szCs w:val="20"/>
        </w:rPr>
      </w:pPr>
      <w:r>
        <w:rPr>
          <w:sz w:val="20"/>
          <w:szCs w:val="20"/>
        </w:rPr>
        <w:t>Based on the economic substance of the underlying circumstances relevant to the Company, the functional curren</w:t>
      </w:r>
      <w:r w:rsidR="002D7132">
        <w:rPr>
          <w:sz w:val="20"/>
          <w:szCs w:val="20"/>
        </w:rPr>
        <w:t>cy has been determined to be the</w:t>
      </w:r>
      <w:r>
        <w:rPr>
          <w:sz w:val="20"/>
          <w:szCs w:val="20"/>
        </w:rPr>
        <w:t xml:space="preserve"> Philippine Peso.  It is the </w:t>
      </w:r>
      <w:proofErr w:type="gramStart"/>
      <w:r>
        <w:rPr>
          <w:sz w:val="20"/>
          <w:szCs w:val="20"/>
        </w:rPr>
        <w:t>currency that mainly influence</w:t>
      </w:r>
      <w:proofErr w:type="gramEnd"/>
      <w:r>
        <w:rPr>
          <w:sz w:val="20"/>
          <w:szCs w:val="20"/>
        </w:rPr>
        <w:t xml:space="preserve"> the price of the services and the cost of providing </w:t>
      </w:r>
      <w:r w:rsidR="002D7132">
        <w:rPr>
          <w:sz w:val="20"/>
          <w:szCs w:val="20"/>
        </w:rPr>
        <w:t>the services.</w:t>
      </w:r>
    </w:p>
    <w:p w:rsidR="002D7132" w:rsidRDefault="002D7132" w:rsidP="00214C10">
      <w:pPr>
        <w:ind w:left="547"/>
        <w:jc w:val="both"/>
        <w:rPr>
          <w:sz w:val="20"/>
          <w:szCs w:val="20"/>
        </w:rPr>
      </w:pPr>
    </w:p>
    <w:p w:rsidR="002D7132" w:rsidRPr="00FB3580" w:rsidRDefault="002D7132" w:rsidP="00214C10">
      <w:pPr>
        <w:ind w:left="547"/>
        <w:jc w:val="both"/>
        <w:rPr>
          <w:b/>
          <w:sz w:val="20"/>
          <w:szCs w:val="20"/>
        </w:rPr>
      </w:pPr>
      <w:r w:rsidRPr="00FB3580">
        <w:rPr>
          <w:b/>
          <w:sz w:val="20"/>
          <w:szCs w:val="20"/>
        </w:rPr>
        <w:t>Estimated Allowance for Impairment Losses on Receivables</w:t>
      </w:r>
    </w:p>
    <w:p w:rsidR="002D7132" w:rsidRDefault="002D7132" w:rsidP="00214C10">
      <w:pPr>
        <w:ind w:left="547"/>
        <w:jc w:val="both"/>
        <w:rPr>
          <w:sz w:val="20"/>
          <w:szCs w:val="20"/>
        </w:rPr>
      </w:pPr>
    </w:p>
    <w:p w:rsidR="002D7132" w:rsidRDefault="002D7132" w:rsidP="00214C10">
      <w:pPr>
        <w:ind w:left="547"/>
        <w:jc w:val="both"/>
        <w:rPr>
          <w:sz w:val="20"/>
          <w:szCs w:val="20"/>
        </w:rPr>
      </w:pPr>
      <w:r>
        <w:rPr>
          <w:sz w:val="20"/>
          <w:szCs w:val="20"/>
        </w:rPr>
        <w:t xml:space="preserve">The Company maintains an allowance for impairment losses on receivables at a level considered adequate to provide for potential uncollectible receivables.  The level of this allowance is evaluated by management on the basis of factors that affect the collectability of the accounts.  These factors include, but are not limited to, the length of the Company’s relationship with customer’s payment behavior and known market factors.  The Company reviews the age and status of receivables, and identifies accounts that are </w:t>
      </w:r>
      <w:proofErr w:type="gramStart"/>
      <w:r>
        <w:rPr>
          <w:sz w:val="20"/>
          <w:szCs w:val="20"/>
        </w:rPr>
        <w:t>to</w:t>
      </w:r>
      <w:proofErr w:type="gramEnd"/>
      <w:r>
        <w:rPr>
          <w:sz w:val="20"/>
          <w:szCs w:val="20"/>
        </w:rPr>
        <w:t xml:space="preserve"> provided with allowances on a regular basis.</w:t>
      </w:r>
    </w:p>
    <w:p w:rsidR="002D7132" w:rsidRDefault="002D7132" w:rsidP="00214C10">
      <w:pPr>
        <w:ind w:left="547"/>
        <w:jc w:val="both"/>
        <w:rPr>
          <w:sz w:val="20"/>
          <w:szCs w:val="20"/>
        </w:rPr>
      </w:pPr>
    </w:p>
    <w:p w:rsidR="002D7132" w:rsidRDefault="002D7132" w:rsidP="00214C10">
      <w:pPr>
        <w:ind w:left="547"/>
        <w:jc w:val="both"/>
        <w:rPr>
          <w:sz w:val="20"/>
          <w:szCs w:val="20"/>
        </w:rPr>
      </w:pPr>
      <w:r>
        <w:rPr>
          <w:sz w:val="20"/>
          <w:szCs w:val="20"/>
        </w:rPr>
        <w:t>As per management evaluation,</w:t>
      </w:r>
      <w:r w:rsidR="00E932A4">
        <w:rPr>
          <w:sz w:val="20"/>
          <w:szCs w:val="20"/>
        </w:rPr>
        <w:t xml:space="preserve"> the Company set-up allowance for doubtfu</w:t>
      </w:r>
      <w:r w:rsidR="00FB3580">
        <w:rPr>
          <w:sz w:val="20"/>
          <w:szCs w:val="20"/>
        </w:rPr>
        <w:t>l account amounted to 198,335</w:t>
      </w:r>
      <w:r w:rsidR="00E932A4">
        <w:rPr>
          <w:sz w:val="20"/>
          <w:szCs w:val="20"/>
        </w:rPr>
        <w:t xml:space="preserve"> for uncollectible amo</w:t>
      </w:r>
      <w:r w:rsidR="005F25AE">
        <w:rPr>
          <w:sz w:val="20"/>
          <w:szCs w:val="20"/>
        </w:rPr>
        <w:t>unt for more than 5 years and management believes that amount can’t be collected</w:t>
      </w:r>
      <w:r>
        <w:rPr>
          <w:sz w:val="20"/>
          <w:szCs w:val="20"/>
        </w:rPr>
        <w:t>. Receiva</w:t>
      </w:r>
      <w:r w:rsidR="00FB3580">
        <w:rPr>
          <w:sz w:val="20"/>
          <w:szCs w:val="20"/>
        </w:rPr>
        <w:t>bles amounted to P 5,359,802</w:t>
      </w:r>
      <w:r w:rsidR="00A719B4">
        <w:rPr>
          <w:sz w:val="20"/>
          <w:szCs w:val="20"/>
        </w:rPr>
        <w:t xml:space="preserve"> and P 2,894,848</w:t>
      </w:r>
      <w:r>
        <w:rPr>
          <w:sz w:val="20"/>
          <w:szCs w:val="20"/>
        </w:rPr>
        <w:t xml:space="preserve"> as of December 31, 2013 and 2012 respectively (See Note</w:t>
      </w:r>
      <w:r w:rsidR="00FB3580">
        <w:rPr>
          <w:sz w:val="20"/>
          <w:szCs w:val="20"/>
        </w:rPr>
        <w:t xml:space="preserve"> 5</w:t>
      </w:r>
      <w:r>
        <w:rPr>
          <w:sz w:val="20"/>
          <w:szCs w:val="20"/>
        </w:rPr>
        <w:t xml:space="preserve"> )</w:t>
      </w:r>
    </w:p>
    <w:p w:rsidR="002D7132" w:rsidRDefault="002D7132" w:rsidP="00214C10">
      <w:pPr>
        <w:ind w:left="547"/>
        <w:jc w:val="both"/>
        <w:rPr>
          <w:sz w:val="20"/>
          <w:szCs w:val="20"/>
        </w:rPr>
      </w:pPr>
    </w:p>
    <w:p w:rsidR="00C3173E" w:rsidRPr="00C3173E" w:rsidRDefault="00C3173E" w:rsidP="00C3173E">
      <w:pPr>
        <w:numPr>
          <w:ilvl w:val="0"/>
          <w:numId w:val="24"/>
        </w:numPr>
        <w:tabs>
          <w:tab w:val="clear" w:pos="900"/>
        </w:tabs>
        <w:autoSpaceDE w:val="0"/>
        <w:autoSpaceDN w:val="0"/>
        <w:adjustRightInd w:val="0"/>
        <w:ind w:left="547" w:hanging="540"/>
        <w:jc w:val="both"/>
        <w:rPr>
          <w:sz w:val="20"/>
          <w:szCs w:val="20"/>
        </w:rPr>
      </w:pPr>
      <w:r>
        <w:rPr>
          <w:b/>
          <w:bCs/>
          <w:sz w:val="20"/>
          <w:szCs w:val="20"/>
        </w:rPr>
        <w:t>Summary of Significant Accounting Policies</w:t>
      </w:r>
    </w:p>
    <w:p w:rsidR="00C3173E" w:rsidRPr="00AD39F6" w:rsidRDefault="00C3173E" w:rsidP="00C3173E">
      <w:pPr>
        <w:autoSpaceDE w:val="0"/>
        <w:autoSpaceDN w:val="0"/>
        <w:adjustRightInd w:val="0"/>
        <w:jc w:val="both"/>
        <w:rPr>
          <w:sz w:val="20"/>
          <w:szCs w:val="20"/>
        </w:rPr>
      </w:pPr>
    </w:p>
    <w:p w:rsidR="00C3173E" w:rsidRDefault="00C3173E" w:rsidP="00214C10">
      <w:pPr>
        <w:ind w:left="547"/>
        <w:jc w:val="both"/>
        <w:rPr>
          <w:sz w:val="20"/>
          <w:szCs w:val="20"/>
        </w:rPr>
      </w:pPr>
      <w:r>
        <w:rPr>
          <w:sz w:val="20"/>
          <w:szCs w:val="20"/>
        </w:rPr>
        <w:t>The accounting policies set out below have been applied consistently to all periods presented in these financial statements</w:t>
      </w:r>
      <w:r w:rsidR="00E42519">
        <w:rPr>
          <w:sz w:val="20"/>
          <w:szCs w:val="20"/>
        </w:rPr>
        <w:t>.</w:t>
      </w:r>
    </w:p>
    <w:p w:rsidR="00E42519" w:rsidRDefault="00E42519" w:rsidP="00214C10">
      <w:pPr>
        <w:ind w:left="547"/>
        <w:jc w:val="both"/>
        <w:rPr>
          <w:sz w:val="20"/>
          <w:szCs w:val="20"/>
        </w:rPr>
      </w:pPr>
    </w:p>
    <w:p w:rsidR="00FA23D4" w:rsidRPr="00F36110" w:rsidRDefault="00C3173E" w:rsidP="007A4CD3">
      <w:pPr>
        <w:ind w:left="547"/>
        <w:jc w:val="both"/>
        <w:rPr>
          <w:b/>
          <w:sz w:val="20"/>
          <w:szCs w:val="20"/>
        </w:rPr>
      </w:pPr>
      <w:r>
        <w:rPr>
          <w:b/>
          <w:sz w:val="20"/>
          <w:szCs w:val="20"/>
        </w:rPr>
        <w:t>Financial Assets</w:t>
      </w:r>
    </w:p>
    <w:p w:rsidR="00B83DDF" w:rsidRPr="00F04644" w:rsidRDefault="00B83DDF" w:rsidP="007A4CD3">
      <w:pPr>
        <w:ind w:left="547"/>
        <w:jc w:val="both"/>
        <w:rPr>
          <w:sz w:val="20"/>
          <w:szCs w:val="20"/>
        </w:rPr>
      </w:pPr>
    </w:p>
    <w:p w:rsidR="00B83DDF" w:rsidRPr="00E42519" w:rsidRDefault="003A1FD3" w:rsidP="007A4CD3">
      <w:pPr>
        <w:ind w:left="547"/>
        <w:jc w:val="both"/>
        <w:rPr>
          <w:b/>
          <w:sz w:val="20"/>
          <w:szCs w:val="20"/>
        </w:rPr>
      </w:pPr>
      <w:r w:rsidRPr="00E42519">
        <w:rPr>
          <w:b/>
          <w:sz w:val="20"/>
          <w:szCs w:val="20"/>
        </w:rPr>
        <w:t>Cash</w:t>
      </w:r>
    </w:p>
    <w:p w:rsidR="003A1FD3" w:rsidRPr="00F04644" w:rsidRDefault="003A1FD3" w:rsidP="0005263B">
      <w:pPr>
        <w:ind w:left="547"/>
        <w:jc w:val="both"/>
        <w:rPr>
          <w:i/>
          <w:sz w:val="20"/>
          <w:szCs w:val="20"/>
          <w:u w:val="single"/>
        </w:rPr>
      </w:pPr>
      <w:r w:rsidRPr="00F04644">
        <w:rPr>
          <w:i/>
          <w:sz w:val="20"/>
          <w:szCs w:val="20"/>
          <w:u w:val="single"/>
        </w:rPr>
        <w:t xml:space="preserve"> </w:t>
      </w:r>
    </w:p>
    <w:p w:rsidR="008514B2" w:rsidRDefault="00F04644" w:rsidP="0005263B">
      <w:pPr>
        <w:tabs>
          <w:tab w:val="left" w:pos="540"/>
        </w:tabs>
        <w:ind w:left="547"/>
        <w:jc w:val="both"/>
        <w:rPr>
          <w:spacing w:val="-2"/>
          <w:sz w:val="20"/>
          <w:szCs w:val="20"/>
        </w:rPr>
      </w:pPr>
      <w:r w:rsidRPr="00F04644">
        <w:rPr>
          <w:sz w:val="20"/>
          <w:szCs w:val="20"/>
        </w:rPr>
        <w:t xml:space="preserve">Cash are stated at face value.  </w:t>
      </w:r>
      <w:r w:rsidR="00C11A83" w:rsidRPr="00F04644">
        <w:rPr>
          <w:sz w:val="20"/>
          <w:szCs w:val="20"/>
        </w:rPr>
        <w:t xml:space="preserve">Cash </w:t>
      </w:r>
      <w:r w:rsidR="00EB1C39">
        <w:rPr>
          <w:sz w:val="20"/>
          <w:szCs w:val="20"/>
        </w:rPr>
        <w:t xml:space="preserve">consist of </w:t>
      </w:r>
      <w:r w:rsidR="00EB1C39" w:rsidRPr="00F04644">
        <w:rPr>
          <w:sz w:val="20"/>
          <w:szCs w:val="20"/>
        </w:rPr>
        <w:t>cash</w:t>
      </w:r>
      <w:r w:rsidR="00C11A83" w:rsidRPr="00F04644">
        <w:rPr>
          <w:sz w:val="20"/>
          <w:szCs w:val="20"/>
        </w:rPr>
        <w:t xml:space="preserve"> in bank</w:t>
      </w:r>
      <w:r w:rsidR="00D25C82">
        <w:rPr>
          <w:sz w:val="20"/>
          <w:szCs w:val="20"/>
        </w:rPr>
        <w:t xml:space="preserve"> o</w:t>
      </w:r>
      <w:r w:rsidR="00C11A83" w:rsidRPr="00F04644">
        <w:rPr>
          <w:sz w:val="20"/>
          <w:szCs w:val="20"/>
        </w:rPr>
        <w:t>n</w:t>
      </w:r>
      <w:r w:rsidR="00C11A83" w:rsidRPr="00F04644">
        <w:rPr>
          <w:spacing w:val="-2"/>
          <w:sz w:val="20"/>
          <w:szCs w:val="20"/>
        </w:rPr>
        <w:t xml:space="preserve"> savings account which</w:t>
      </w:r>
      <w:r w:rsidR="00625A3B" w:rsidRPr="00F04644">
        <w:rPr>
          <w:spacing w:val="-2"/>
          <w:sz w:val="20"/>
          <w:szCs w:val="20"/>
        </w:rPr>
        <w:t xml:space="preserve"> earn interest at the bank deposit rates and these are </w:t>
      </w:r>
      <w:r w:rsidR="00C11A83" w:rsidRPr="00F04644">
        <w:rPr>
          <w:spacing w:val="-2"/>
          <w:sz w:val="20"/>
          <w:szCs w:val="20"/>
        </w:rPr>
        <w:t>deposits held at call with the bank</w:t>
      </w:r>
      <w:r w:rsidR="00D25C82">
        <w:rPr>
          <w:spacing w:val="-2"/>
          <w:sz w:val="20"/>
          <w:szCs w:val="20"/>
        </w:rPr>
        <w:t>.</w:t>
      </w:r>
    </w:p>
    <w:p w:rsidR="00A94453" w:rsidRDefault="00A94453" w:rsidP="0005263B">
      <w:pPr>
        <w:tabs>
          <w:tab w:val="left" w:pos="540"/>
        </w:tabs>
        <w:ind w:left="547"/>
        <w:jc w:val="both"/>
        <w:rPr>
          <w:spacing w:val="-2"/>
          <w:sz w:val="20"/>
          <w:szCs w:val="20"/>
        </w:rPr>
      </w:pPr>
    </w:p>
    <w:p w:rsidR="00214C10" w:rsidRPr="00E42519" w:rsidRDefault="00E42519" w:rsidP="0005263B">
      <w:pPr>
        <w:tabs>
          <w:tab w:val="left" w:pos="540"/>
        </w:tabs>
        <w:ind w:left="547"/>
        <w:jc w:val="both"/>
        <w:rPr>
          <w:b/>
          <w:spacing w:val="-2"/>
          <w:sz w:val="20"/>
          <w:szCs w:val="20"/>
        </w:rPr>
      </w:pPr>
      <w:r w:rsidRPr="00E42519">
        <w:rPr>
          <w:b/>
          <w:spacing w:val="-2"/>
          <w:sz w:val="20"/>
          <w:szCs w:val="20"/>
        </w:rPr>
        <w:t>Trade and other receivables</w:t>
      </w:r>
      <w:r w:rsidR="001A1075">
        <w:rPr>
          <w:b/>
          <w:spacing w:val="-2"/>
          <w:sz w:val="20"/>
          <w:szCs w:val="20"/>
        </w:rPr>
        <w:t xml:space="preserve"> </w:t>
      </w:r>
    </w:p>
    <w:p w:rsidR="00E42519" w:rsidRDefault="00E42519" w:rsidP="0005263B">
      <w:pPr>
        <w:tabs>
          <w:tab w:val="left" w:pos="540"/>
        </w:tabs>
        <w:ind w:left="547"/>
        <w:jc w:val="both"/>
        <w:rPr>
          <w:spacing w:val="-2"/>
          <w:sz w:val="20"/>
          <w:szCs w:val="20"/>
        </w:rPr>
      </w:pPr>
    </w:p>
    <w:p w:rsidR="00E42519" w:rsidRDefault="00E42519" w:rsidP="0005263B">
      <w:pPr>
        <w:tabs>
          <w:tab w:val="left" w:pos="540"/>
        </w:tabs>
        <w:ind w:left="547"/>
        <w:jc w:val="both"/>
        <w:rPr>
          <w:spacing w:val="-2"/>
          <w:sz w:val="20"/>
          <w:szCs w:val="20"/>
        </w:rPr>
      </w:pPr>
      <w:r>
        <w:rPr>
          <w:spacing w:val="-2"/>
          <w:sz w:val="20"/>
          <w:szCs w:val="20"/>
        </w:rPr>
        <w:t>Tr</w:t>
      </w:r>
      <w:r w:rsidR="001A1075">
        <w:rPr>
          <w:spacing w:val="-2"/>
          <w:sz w:val="20"/>
          <w:szCs w:val="20"/>
        </w:rPr>
        <w:t>ade and other receivables are initially measured at transaction price and are subsequently presented at undiscounted amount.  Where credit is extended beyond normal credit terms, receivables are measured at amortized cost using the effective interest method.  At the end of each reporting date, the carrying amounts of trade and other receivables are reviewed to determine whether there is any objective evidence that the amounts are not recoverable.  If such evidence is identified, an impairment loss is recognized immediately in profit or loss.</w:t>
      </w:r>
    </w:p>
    <w:p w:rsidR="001A1075" w:rsidRDefault="001A1075" w:rsidP="0005263B">
      <w:pPr>
        <w:tabs>
          <w:tab w:val="left" w:pos="540"/>
        </w:tabs>
        <w:ind w:left="547"/>
        <w:jc w:val="both"/>
        <w:rPr>
          <w:spacing w:val="-2"/>
          <w:sz w:val="20"/>
          <w:szCs w:val="20"/>
        </w:rPr>
      </w:pPr>
    </w:p>
    <w:p w:rsidR="00FB3580" w:rsidRDefault="00FB3580" w:rsidP="0005263B">
      <w:pPr>
        <w:tabs>
          <w:tab w:val="left" w:pos="540"/>
        </w:tabs>
        <w:ind w:left="547"/>
        <w:jc w:val="both"/>
        <w:rPr>
          <w:spacing w:val="-2"/>
          <w:sz w:val="20"/>
          <w:szCs w:val="20"/>
        </w:rPr>
      </w:pPr>
    </w:p>
    <w:p w:rsidR="00E42519" w:rsidRPr="00A719B4" w:rsidRDefault="00D97735" w:rsidP="0005263B">
      <w:pPr>
        <w:tabs>
          <w:tab w:val="left" w:pos="540"/>
        </w:tabs>
        <w:ind w:left="547"/>
        <w:jc w:val="both"/>
        <w:rPr>
          <w:b/>
          <w:spacing w:val="-2"/>
          <w:sz w:val="20"/>
          <w:szCs w:val="20"/>
        </w:rPr>
      </w:pPr>
      <w:proofErr w:type="spellStart"/>
      <w:r w:rsidRPr="00A719B4">
        <w:rPr>
          <w:b/>
          <w:spacing w:val="-2"/>
          <w:sz w:val="20"/>
          <w:szCs w:val="20"/>
        </w:rPr>
        <w:t>Derecognition</w:t>
      </w:r>
      <w:proofErr w:type="spellEnd"/>
      <w:r w:rsidRPr="00A719B4">
        <w:rPr>
          <w:b/>
          <w:spacing w:val="-2"/>
          <w:sz w:val="20"/>
          <w:szCs w:val="20"/>
        </w:rPr>
        <w:t xml:space="preserve"> of Financial Assets and Liabilities</w:t>
      </w:r>
    </w:p>
    <w:p w:rsidR="00D97735" w:rsidRDefault="00D97735" w:rsidP="0005263B">
      <w:pPr>
        <w:tabs>
          <w:tab w:val="left" w:pos="540"/>
        </w:tabs>
        <w:ind w:left="547"/>
        <w:jc w:val="both"/>
        <w:rPr>
          <w:spacing w:val="-2"/>
          <w:sz w:val="20"/>
          <w:szCs w:val="20"/>
        </w:rPr>
      </w:pPr>
    </w:p>
    <w:p w:rsidR="00D97735" w:rsidRDefault="00D97735" w:rsidP="0005263B">
      <w:pPr>
        <w:tabs>
          <w:tab w:val="left" w:pos="540"/>
        </w:tabs>
        <w:ind w:left="547"/>
        <w:jc w:val="both"/>
        <w:rPr>
          <w:spacing w:val="-2"/>
          <w:sz w:val="20"/>
          <w:szCs w:val="20"/>
        </w:rPr>
      </w:pPr>
      <w:r>
        <w:rPr>
          <w:spacing w:val="-2"/>
          <w:sz w:val="20"/>
          <w:szCs w:val="20"/>
        </w:rPr>
        <w:t>Financial Assets – A financial asset (or, where applicable a part of a financial asset or part of a group of similar financial assets) is derecognized where;</w:t>
      </w:r>
    </w:p>
    <w:p w:rsidR="00D97735" w:rsidRDefault="00D97735" w:rsidP="0005263B">
      <w:pPr>
        <w:tabs>
          <w:tab w:val="left" w:pos="540"/>
        </w:tabs>
        <w:ind w:left="547"/>
        <w:jc w:val="both"/>
        <w:rPr>
          <w:spacing w:val="-2"/>
          <w:sz w:val="20"/>
          <w:szCs w:val="20"/>
        </w:rPr>
      </w:pPr>
    </w:p>
    <w:p w:rsidR="00D97735" w:rsidRDefault="00D97735" w:rsidP="00D97735">
      <w:pPr>
        <w:pStyle w:val="ListParagraph"/>
        <w:numPr>
          <w:ilvl w:val="0"/>
          <w:numId w:val="30"/>
        </w:numPr>
        <w:tabs>
          <w:tab w:val="left" w:pos="540"/>
        </w:tabs>
        <w:jc w:val="both"/>
        <w:rPr>
          <w:spacing w:val="-2"/>
          <w:sz w:val="20"/>
          <w:szCs w:val="20"/>
        </w:rPr>
      </w:pPr>
      <w:r>
        <w:rPr>
          <w:spacing w:val="-2"/>
          <w:sz w:val="20"/>
          <w:szCs w:val="20"/>
        </w:rPr>
        <w:t>The rights to receive cash flows from the asset have expired;</w:t>
      </w:r>
    </w:p>
    <w:p w:rsidR="00D97735" w:rsidRDefault="00D97735" w:rsidP="00D97735">
      <w:pPr>
        <w:pStyle w:val="ListParagraph"/>
        <w:numPr>
          <w:ilvl w:val="0"/>
          <w:numId w:val="30"/>
        </w:numPr>
        <w:tabs>
          <w:tab w:val="left" w:pos="540"/>
        </w:tabs>
        <w:jc w:val="both"/>
        <w:rPr>
          <w:spacing w:val="-2"/>
          <w:sz w:val="20"/>
          <w:szCs w:val="20"/>
        </w:rPr>
      </w:pPr>
      <w:r>
        <w:rPr>
          <w:spacing w:val="-2"/>
          <w:sz w:val="20"/>
          <w:szCs w:val="20"/>
        </w:rPr>
        <w:t>The Company retains the right to receive cash flows from the asset, b</w:t>
      </w:r>
      <w:r w:rsidR="00B32DC9">
        <w:rPr>
          <w:spacing w:val="-2"/>
          <w:sz w:val="20"/>
          <w:szCs w:val="20"/>
        </w:rPr>
        <w:t xml:space="preserve">ut has assumed an obligation to </w:t>
      </w:r>
      <w:r>
        <w:rPr>
          <w:spacing w:val="-2"/>
          <w:sz w:val="20"/>
          <w:szCs w:val="20"/>
        </w:rPr>
        <w:t>pay them in full without material delay to a party under a “pass-through arrangement; or</w:t>
      </w:r>
    </w:p>
    <w:p w:rsidR="00D97735" w:rsidRDefault="00D97735" w:rsidP="00D97735">
      <w:pPr>
        <w:pStyle w:val="ListParagraph"/>
        <w:numPr>
          <w:ilvl w:val="0"/>
          <w:numId w:val="30"/>
        </w:numPr>
        <w:tabs>
          <w:tab w:val="left" w:pos="540"/>
        </w:tabs>
        <w:jc w:val="both"/>
        <w:rPr>
          <w:spacing w:val="-2"/>
          <w:sz w:val="20"/>
          <w:szCs w:val="20"/>
        </w:rPr>
      </w:pPr>
      <w:r>
        <w:rPr>
          <w:spacing w:val="-2"/>
          <w:sz w:val="20"/>
          <w:szCs w:val="20"/>
        </w:rPr>
        <w:t>The Company has transferred its rights to receive cash flows from the asset and either (a) has transferred nor retained substantially all the risk and rewards of the assets, or (b) has neither transferred nor retained substantially all the risks and rewards of the asset, but has transferred control of the asset.</w:t>
      </w:r>
    </w:p>
    <w:p w:rsidR="00D97735" w:rsidRDefault="00D97735" w:rsidP="00D97735">
      <w:pPr>
        <w:tabs>
          <w:tab w:val="left" w:pos="540"/>
        </w:tabs>
        <w:ind w:left="547"/>
        <w:jc w:val="both"/>
        <w:rPr>
          <w:spacing w:val="-2"/>
          <w:sz w:val="20"/>
          <w:szCs w:val="20"/>
        </w:rPr>
      </w:pPr>
    </w:p>
    <w:p w:rsidR="00D97735" w:rsidRDefault="000F3445" w:rsidP="00D97735">
      <w:pPr>
        <w:tabs>
          <w:tab w:val="left" w:pos="540"/>
        </w:tabs>
        <w:ind w:left="547"/>
        <w:jc w:val="both"/>
        <w:rPr>
          <w:spacing w:val="-2"/>
          <w:sz w:val="20"/>
          <w:szCs w:val="20"/>
        </w:rPr>
      </w:pPr>
      <w:r>
        <w:rPr>
          <w:spacing w:val="-2"/>
          <w:sz w:val="20"/>
          <w:szCs w:val="20"/>
        </w:rPr>
        <w:t>When the Company has transferred its rights to receive cash flows</w:t>
      </w:r>
      <w:r w:rsidR="00DB47EF">
        <w:rPr>
          <w:spacing w:val="-2"/>
          <w:sz w:val="20"/>
          <w:szCs w:val="20"/>
        </w:rPr>
        <w:t xml:space="preserve"> from asset and has neither transferred nor retained substantially all the risks and rewards of the asset nor transferred control of the asset, the asset is recognized to the extent of the Company’s continuing involvement in the asset.  Continuing involvement that takes the form of a guarantee over the transferred asset is measured at the lower of the original carrying amount of the asset and the maximum amount of consideration that the Company could be required to repay.</w:t>
      </w:r>
      <w:r w:rsidR="00B32DC9">
        <w:rPr>
          <w:spacing w:val="-2"/>
          <w:sz w:val="20"/>
          <w:szCs w:val="20"/>
        </w:rPr>
        <w:t xml:space="preserve">  </w:t>
      </w:r>
    </w:p>
    <w:p w:rsidR="00B32DC9" w:rsidRDefault="00B32DC9" w:rsidP="00D97735">
      <w:pPr>
        <w:tabs>
          <w:tab w:val="left" w:pos="540"/>
        </w:tabs>
        <w:ind w:left="547"/>
        <w:jc w:val="both"/>
        <w:rPr>
          <w:spacing w:val="-2"/>
          <w:sz w:val="20"/>
          <w:szCs w:val="20"/>
        </w:rPr>
      </w:pPr>
    </w:p>
    <w:p w:rsidR="00B32DC9" w:rsidRPr="00A719B4" w:rsidRDefault="00B32DC9" w:rsidP="00D97735">
      <w:pPr>
        <w:tabs>
          <w:tab w:val="left" w:pos="540"/>
        </w:tabs>
        <w:ind w:left="547"/>
        <w:jc w:val="both"/>
        <w:rPr>
          <w:b/>
          <w:spacing w:val="-2"/>
          <w:sz w:val="20"/>
          <w:szCs w:val="20"/>
        </w:rPr>
      </w:pPr>
      <w:r w:rsidRPr="00A719B4">
        <w:rPr>
          <w:b/>
          <w:spacing w:val="-2"/>
          <w:sz w:val="20"/>
          <w:szCs w:val="20"/>
        </w:rPr>
        <w:t>Impairment of Financial Assets</w:t>
      </w:r>
    </w:p>
    <w:p w:rsidR="00B32DC9" w:rsidRDefault="00B32DC9" w:rsidP="00D97735">
      <w:pPr>
        <w:tabs>
          <w:tab w:val="left" w:pos="540"/>
        </w:tabs>
        <w:ind w:left="547"/>
        <w:jc w:val="both"/>
        <w:rPr>
          <w:spacing w:val="-2"/>
          <w:sz w:val="20"/>
          <w:szCs w:val="20"/>
        </w:rPr>
      </w:pPr>
    </w:p>
    <w:p w:rsidR="00B32DC9" w:rsidRDefault="00B32DC9" w:rsidP="00D97735">
      <w:pPr>
        <w:tabs>
          <w:tab w:val="left" w:pos="540"/>
        </w:tabs>
        <w:ind w:left="547"/>
        <w:jc w:val="both"/>
        <w:rPr>
          <w:spacing w:val="-2"/>
          <w:sz w:val="20"/>
          <w:szCs w:val="20"/>
        </w:rPr>
      </w:pPr>
      <w:r>
        <w:rPr>
          <w:spacing w:val="-2"/>
          <w:sz w:val="20"/>
          <w:szCs w:val="20"/>
        </w:rPr>
        <w:t>The Company assesses at the end of each reporting date whether a financial asset or group of financial assets is impaired.</w:t>
      </w:r>
    </w:p>
    <w:p w:rsidR="00B32DC9" w:rsidRDefault="00B32DC9" w:rsidP="00D97735">
      <w:pPr>
        <w:tabs>
          <w:tab w:val="left" w:pos="540"/>
        </w:tabs>
        <w:ind w:left="547"/>
        <w:jc w:val="both"/>
        <w:rPr>
          <w:spacing w:val="-2"/>
          <w:sz w:val="20"/>
          <w:szCs w:val="20"/>
        </w:rPr>
      </w:pPr>
    </w:p>
    <w:p w:rsidR="00B96A22" w:rsidRDefault="00B32DC9" w:rsidP="00D97735">
      <w:pPr>
        <w:tabs>
          <w:tab w:val="left" w:pos="540"/>
        </w:tabs>
        <w:ind w:left="547"/>
        <w:jc w:val="both"/>
        <w:rPr>
          <w:spacing w:val="-2"/>
          <w:sz w:val="20"/>
          <w:szCs w:val="20"/>
        </w:rPr>
      </w:pPr>
      <w:r>
        <w:rPr>
          <w:spacing w:val="-2"/>
          <w:sz w:val="20"/>
          <w:szCs w:val="20"/>
        </w:rPr>
        <w:t xml:space="preserve">If there is objective evidence that an impairment loss on assets carried at amortized cost has been incurred, the amount of the loss is measured as the difference between </w:t>
      </w:r>
      <w:proofErr w:type="gramStart"/>
      <w:r>
        <w:rPr>
          <w:spacing w:val="-2"/>
          <w:sz w:val="20"/>
          <w:szCs w:val="20"/>
        </w:rPr>
        <w:t>the  asset’s</w:t>
      </w:r>
      <w:proofErr w:type="gramEnd"/>
      <w:r>
        <w:rPr>
          <w:spacing w:val="-2"/>
          <w:sz w:val="20"/>
          <w:szCs w:val="20"/>
        </w:rPr>
        <w:t xml:space="preserve"> carrying amount and the present value of estimated future cash (excluding future expected credit losses that have not been incurred) discounted at the financial asset’s original effective interest rate</w:t>
      </w:r>
      <w:r w:rsidR="00B96A22">
        <w:rPr>
          <w:spacing w:val="-2"/>
          <w:sz w:val="20"/>
          <w:szCs w:val="20"/>
        </w:rPr>
        <w:t xml:space="preserve"> (i.e., the effective interest rate computed at initial recognition).  The carrying amount of the asset is reduced through the use of an allowance account. The amount of the loss shall be recognized in statements of income.</w:t>
      </w:r>
    </w:p>
    <w:p w:rsidR="00B96A22" w:rsidRDefault="00B96A22" w:rsidP="00D97735">
      <w:pPr>
        <w:tabs>
          <w:tab w:val="left" w:pos="540"/>
        </w:tabs>
        <w:ind w:left="547"/>
        <w:jc w:val="both"/>
        <w:rPr>
          <w:spacing w:val="-2"/>
          <w:sz w:val="20"/>
          <w:szCs w:val="20"/>
        </w:rPr>
      </w:pPr>
    </w:p>
    <w:p w:rsidR="00B32DC9" w:rsidRDefault="00B96A22" w:rsidP="00D97735">
      <w:pPr>
        <w:tabs>
          <w:tab w:val="left" w:pos="540"/>
        </w:tabs>
        <w:ind w:left="547"/>
        <w:jc w:val="both"/>
        <w:rPr>
          <w:spacing w:val="-2"/>
          <w:sz w:val="20"/>
          <w:szCs w:val="20"/>
        </w:rPr>
      </w:pPr>
      <w:r>
        <w:rPr>
          <w:spacing w:val="-2"/>
          <w:sz w:val="20"/>
          <w:szCs w:val="20"/>
        </w:rPr>
        <w:t>If, an subsequent period, the amount of the impairment loss decreases and the decreases can be related objectively</w:t>
      </w:r>
      <w:r w:rsidR="0024597B">
        <w:rPr>
          <w:spacing w:val="-2"/>
          <w:sz w:val="20"/>
          <w:szCs w:val="20"/>
        </w:rPr>
        <w:t xml:space="preserve"> to an event occurring after the impairment was recognized, the previously recognized impairment loss is reversed, to the extent that the carrying value of the asset does not exceed its amortized cost at the reversal date.  Any subsequent reversal of an impairment loss is recognized in the statements of income.</w:t>
      </w:r>
    </w:p>
    <w:p w:rsidR="0024597B" w:rsidRDefault="0024597B" w:rsidP="00D97735">
      <w:pPr>
        <w:tabs>
          <w:tab w:val="left" w:pos="540"/>
        </w:tabs>
        <w:ind w:left="547"/>
        <w:jc w:val="both"/>
        <w:rPr>
          <w:spacing w:val="-2"/>
          <w:sz w:val="20"/>
          <w:szCs w:val="20"/>
        </w:rPr>
      </w:pPr>
    </w:p>
    <w:p w:rsidR="0024597B" w:rsidRDefault="0024597B" w:rsidP="00D97735">
      <w:pPr>
        <w:tabs>
          <w:tab w:val="left" w:pos="540"/>
        </w:tabs>
        <w:ind w:left="547"/>
        <w:jc w:val="both"/>
        <w:rPr>
          <w:spacing w:val="-2"/>
          <w:sz w:val="20"/>
          <w:szCs w:val="20"/>
        </w:rPr>
      </w:pPr>
      <w:r>
        <w:rPr>
          <w:spacing w:val="-2"/>
          <w:sz w:val="20"/>
          <w:szCs w:val="20"/>
        </w:rPr>
        <w:t xml:space="preserve">In relation to trade receivables, a provision for impairment is made when there is </w:t>
      </w:r>
      <w:proofErr w:type="gramStart"/>
      <w:r>
        <w:rPr>
          <w:spacing w:val="-2"/>
          <w:sz w:val="20"/>
          <w:szCs w:val="20"/>
        </w:rPr>
        <w:t>an objective evidence (such</w:t>
      </w:r>
      <w:proofErr w:type="gramEnd"/>
      <w:r>
        <w:rPr>
          <w:spacing w:val="-2"/>
          <w:sz w:val="20"/>
          <w:szCs w:val="20"/>
        </w:rPr>
        <w:t xml:space="preserve"> as the probability of insolvency or significant financial difficulties of the debtor) that the Company will not be able to collect all of the amounts due under the</w:t>
      </w:r>
      <w:r w:rsidR="00BA5506">
        <w:rPr>
          <w:spacing w:val="-2"/>
          <w:sz w:val="20"/>
          <w:szCs w:val="20"/>
        </w:rPr>
        <w:t xml:space="preserve"> original terms of the invoice.  The carrying amount of the receivable is reduced through use of an allowance account.  Impaired receivables are derecognized when they are assessed as uncollectible.</w:t>
      </w:r>
    </w:p>
    <w:p w:rsidR="00BA5506" w:rsidRDefault="00BA5506" w:rsidP="00D97735">
      <w:pPr>
        <w:tabs>
          <w:tab w:val="left" w:pos="540"/>
        </w:tabs>
        <w:ind w:left="547"/>
        <w:jc w:val="both"/>
        <w:rPr>
          <w:spacing w:val="-2"/>
          <w:sz w:val="20"/>
          <w:szCs w:val="20"/>
        </w:rPr>
      </w:pPr>
    </w:p>
    <w:p w:rsidR="00BA5506" w:rsidRPr="00BA5506" w:rsidRDefault="00BA5506" w:rsidP="00D97735">
      <w:pPr>
        <w:tabs>
          <w:tab w:val="left" w:pos="540"/>
        </w:tabs>
        <w:ind w:left="547"/>
        <w:jc w:val="both"/>
        <w:rPr>
          <w:b/>
          <w:spacing w:val="-2"/>
          <w:sz w:val="20"/>
          <w:szCs w:val="20"/>
        </w:rPr>
      </w:pPr>
      <w:r w:rsidRPr="00BA5506">
        <w:rPr>
          <w:b/>
          <w:spacing w:val="-2"/>
          <w:sz w:val="20"/>
          <w:szCs w:val="20"/>
        </w:rPr>
        <w:t>Offsetting Financial Instruments</w:t>
      </w:r>
    </w:p>
    <w:p w:rsidR="00BA5506" w:rsidRDefault="00BA5506" w:rsidP="00D97735">
      <w:pPr>
        <w:tabs>
          <w:tab w:val="left" w:pos="540"/>
        </w:tabs>
        <w:ind w:left="547"/>
        <w:jc w:val="both"/>
        <w:rPr>
          <w:spacing w:val="-2"/>
          <w:sz w:val="20"/>
          <w:szCs w:val="20"/>
        </w:rPr>
      </w:pPr>
    </w:p>
    <w:p w:rsidR="00BA5506" w:rsidRDefault="00BA5506" w:rsidP="00D97735">
      <w:pPr>
        <w:tabs>
          <w:tab w:val="left" w:pos="540"/>
        </w:tabs>
        <w:ind w:left="547"/>
        <w:jc w:val="both"/>
        <w:rPr>
          <w:spacing w:val="-2"/>
          <w:sz w:val="20"/>
          <w:szCs w:val="20"/>
        </w:rPr>
      </w:pPr>
      <w:r>
        <w:rPr>
          <w:spacing w:val="-2"/>
          <w:sz w:val="20"/>
          <w:szCs w:val="20"/>
        </w:rPr>
        <w:t>Financial assets and liabilities are offset and the net amount is reported in the statements of financial position if, and only if, there is a currently enforceable legal right to offset the recognized amounts and there is an intention to settle on a net basis, or to realize the asset and settle the liability simultaneously.  This is not generally the case with master netting agreements, and the related assets and liabilities are presented gross in the statements of financial position.</w:t>
      </w:r>
    </w:p>
    <w:p w:rsidR="00BA5506" w:rsidRDefault="00BA5506" w:rsidP="00D97735">
      <w:pPr>
        <w:tabs>
          <w:tab w:val="left" w:pos="540"/>
        </w:tabs>
        <w:ind w:left="547"/>
        <w:jc w:val="both"/>
        <w:rPr>
          <w:spacing w:val="-2"/>
          <w:sz w:val="20"/>
          <w:szCs w:val="20"/>
        </w:rPr>
      </w:pPr>
    </w:p>
    <w:p w:rsidR="007A4D62" w:rsidRDefault="007A4D62" w:rsidP="00D97735">
      <w:pPr>
        <w:tabs>
          <w:tab w:val="left" w:pos="540"/>
        </w:tabs>
        <w:ind w:left="547"/>
        <w:jc w:val="both"/>
        <w:rPr>
          <w:b/>
          <w:spacing w:val="-2"/>
          <w:sz w:val="20"/>
          <w:szCs w:val="20"/>
        </w:rPr>
      </w:pPr>
      <w:r w:rsidRPr="007A4D62">
        <w:rPr>
          <w:b/>
          <w:spacing w:val="-2"/>
          <w:sz w:val="20"/>
          <w:szCs w:val="20"/>
        </w:rPr>
        <w:t>Impairment of Non-financial Assets</w:t>
      </w:r>
    </w:p>
    <w:p w:rsidR="00124EEE" w:rsidRDefault="00124EEE" w:rsidP="00D97735">
      <w:pPr>
        <w:tabs>
          <w:tab w:val="left" w:pos="540"/>
        </w:tabs>
        <w:ind w:left="547"/>
        <w:jc w:val="both"/>
        <w:rPr>
          <w:b/>
          <w:spacing w:val="-2"/>
          <w:sz w:val="20"/>
          <w:szCs w:val="20"/>
        </w:rPr>
      </w:pPr>
    </w:p>
    <w:p w:rsidR="007A4D62" w:rsidRPr="00455243" w:rsidRDefault="007A4D62" w:rsidP="00D97735">
      <w:pPr>
        <w:tabs>
          <w:tab w:val="left" w:pos="540"/>
        </w:tabs>
        <w:ind w:left="547"/>
        <w:jc w:val="both"/>
        <w:rPr>
          <w:spacing w:val="-2"/>
          <w:sz w:val="20"/>
          <w:szCs w:val="20"/>
        </w:rPr>
      </w:pPr>
      <w:r w:rsidRPr="00455243">
        <w:rPr>
          <w:spacing w:val="-2"/>
          <w:sz w:val="20"/>
          <w:szCs w:val="20"/>
        </w:rPr>
        <w:t>At each reporting date, property and equipment are reviewed to determine whether there is any indication</w:t>
      </w:r>
      <w:r w:rsidR="00455243" w:rsidRPr="00455243">
        <w:rPr>
          <w:spacing w:val="-2"/>
          <w:sz w:val="20"/>
          <w:szCs w:val="20"/>
        </w:rPr>
        <w:t xml:space="preserve"> that those assets have suffered an impairment loss.  If </w:t>
      </w:r>
      <w:proofErr w:type="gramStart"/>
      <w:r w:rsidR="00455243" w:rsidRPr="00455243">
        <w:rPr>
          <w:spacing w:val="-2"/>
          <w:sz w:val="20"/>
          <w:szCs w:val="20"/>
        </w:rPr>
        <w:t>these is</w:t>
      </w:r>
      <w:proofErr w:type="gramEnd"/>
      <w:r w:rsidR="00455243" w:rsidRPr="00455243">
        <w:rPr>
          <w:spacing w:val="-2"/>
          <w:sz w:val="20"/>
          <w:szCs w:val="20"/>
        </w:rPr>
        <w:t xml:space="preserve"> an indication of possible impairment, the </w:t>
      </w:r>
      <w:r w:rsidR="00455243" w:rsidRPr="00455243">
        <w:rPr>
          <w:spacing w:val="-2"/>
          <w:sz w:val="20"/>
          <w:szCs w:val="20"/>
        </w:rPr>
        <w:lastRenderedPageBreak/>
        <w:t>recoverable amount of any affected asset (or group of related assets) is estimated and compared with its carrying amount.  If estimated recoverable amount is lower, the carrying amount is reduced to its estimated recoverable amount, and an impairment loss is recognized immediately in profit or loss.</w:t>
      </w:r>
    </w:p>
    <w:p w:rsidR="00455243" w:rsidRDefault="00455243" w:rsidP="00D97735">
      <w:pPr>
        <w:tabs>
          <w:tab w:val="left" w:pos="540"/>
        </w:tabs>
        <w:ind w:left="547"/>
        <w:jc w:val="both"/>
        <w:rPr>
          <w:b/>
          <w:spacing w:val="-2"/>
          <w:sz w:val="20"/>
          <w:szCs w:val="20"/>
        </w:rPr>
      </w:pPr>
    </w:p>
    <w:p w:rsidR="00455243" w:rsidRDefault="00455243" w:rsidP="00D97735">
      <w:pPr>
        <w:tabs>
          <w:tab w:val="left" w:pos="540"/>
        </w:tabs>
        <w:ind w:left="547"/>
        <w:jc w:val="both"/>
        <w:rPr>
          <w:spacing w:val="-2"/>
          <w:sz w:val="20"/>
          <w:szCs w:val="20"/>
        </w:rPr>
      </w:pPr>
      <w:r w:rsidRPr="00455243">
        <w:rPr>
          <w:spacing w:val="-2"/>
          <w:sz w:val="20"/>
          <w:szCs w:val="20"/>
        </w:rPr>
        <w:t>If an impairment loss subsequently reverses, the carrying amount of the asset (or group of related assets) is increase to the revised estimate of its recoverable amount, but not in excess of the amount that would have been determined had no impairment loss been recognized for the asset(group of related assets) in prior years.  A reversal of an impairment loss is recognized immediately in profit or loss.</w:t>
      </w:r>
    </w:p>
    <w:p w:rsidR="00455243" w:rsidRDefault="00455243" w:rsidP="00D97735">
      <w:pPr>
        <w:tabs>
          <w:tab w:val="left" w:pos="540"/>
        </w:tabs>
        <w:ind w:left="547"/>
        <w:jc w:val="both"/>
        <w:rPr>
          <w:spacing w:val="-2"/>
          <w:sz w:val="20"/>
          <w:szCs w:val="20"/>
        </w:rPr>
      </w:pPr>
    </w:p>
    <w:p w:rsidR="00455243" w:rsidRPr="00A60F02" w:rsidRDefault="00455243" w:rsidP="00D97735">
      <w:pPr>
        <w:tabs>
          <w:tab w:val="left" w:pos="540"/>
        </w:tabs>
        <w:ind w:left="547"/>
        <w:jc w:val="both"/>
        <w:rPr>
          <w:b/>
          <w:spacing w:val="-2"/>
          <w:sz w:val="20"/>
          <w:szCs w:val="20"/>
        </w:rPr>
      </w:pPr>
      <w:r w:rsidRPr="00A60F02">
        <w:rPr>
          <w:b/>
          <w:spacing w:val="-2"/>
          <w:sz w:val="20"/>
          <w:szCs w:val="20"/>
        </w:rPr>
        <w:t>Trade and other Payables</w:t>
      </w:r>
    </w:p>
    <w:p w:rsidR="00455243" w:rsidRDefault="00455243" w:rsidP="00D97735">
      <w:pPr>
        <w:tabs>
          <w:tab w:val="left" w:pos="540"/>
        </w:tabs>
        <w:ind w:left="547"/>
        <w:jc w:val="both"/>
        <w:rPr>
          <w:spacing w:val="-2"/>
          <w:sz w:val="20"/>
          <w:szCs w:val="20"/>
        </w:rPr>
      </w:pPr>
    </w:p>
    <w:p w:rsidR="00455243" w:rsidRDefault="00455243" w:rsidP="00D97735">
      <w:pPr>
        <w:tabs>
          <w:tab w:val="left" w:pos="540"/>
        </w:tabs>
        <w:ind w:left="547"/>
        <w:jc w:val="both"/>
        <w:rPr>
          <w:spacing w:val="-2"/>
          <w:sz w:val="20"/>
          <w:szCs w:val="20"/>
        </w:rPr>
      </w:pPr>
      <w:r>
        <w:rPr>
          <w:spacing w:val="-2"/>
          <w:sz w:val="20"/>
          <w:szCs w:val="20"/>
        </w:rPr>
        <w:t>Trade and other payables are recognized initially at the transaction price and subsequently measured at amortized cost using the effective interest method.</w:t>
      </w:r>
    </w:p>
    <w:p w:rsidR="00455243" w:rsidRDefault="00455243" w:rsidP="00D97735">
      <w:pPr>
        <w:tabs>
          <w:tab w:val="left" w:pos="540"/>
        </w:tabs>
        <w:ind w:left="547"/>
        <w:jc w:val="both"/>
        <w:rPr>
          <w:spacing w:val="-2"/>
          <w:sz w:val="20"/>
          <w:szCs w:val="20"/>
        </w:rPr>
      </w:pPr>
    </w:p>
    <w:p w:rsidR="00455243" w:rsidRPr="00455243" w:rsidRDefault="00A60F02" w:rsidP="00D97735">
      <w:pPr>
        <w:tabs>
          <w:tab w:val="left" w:pos="540"/>
        </w:tabs>
        <w:ind w:left="547"/>
        <w:jc w:val="both"/>
        <w:rPr>
          <w:spacing w:val="-2"/>
          <w:sz w:val="20"/>
          <w:szCs w:val="20"/>
        </w:rPr>
      </w:pPr>
      <w:r>
        <w:rPr>
          <w:spacing w:val="-2"/>
          <w:sz w:val="20"/>
          <w:szCs w:val="20"/>
        </w:rPr>
        <w:t>Trade and other payables are derecognized from the statement of financial position only when the obligations are extinguished either through discharge, cancellation or expiration.</w:t>
      </w:r>
    </w:p>
    <w:p w:rsidR="00455243" w:rsidRPr="007A4D62" w:rsidRDefault="00455243" w:rsidP="00D97735">
      <w:pPr>
        <w:tabs>
          <w:tab w:val="left" w:pos="540"/>
        </w:tabs>
        <w:ind w:left="547"/>
        <w:jc w:val="both"/>
        <w:rPr>
          <w:b/>
          <w:spacing w:val="-2"/>
          <w:sz w:val="20"/>
          <w:szCs w:val="20"/>
        </w:rPr>
      </w:pPr>
    </w:p>
    <w:p w:rsidR="00E42519" w:rsidRPr="00A60F02" w:rsidRDefault="00A60F02" w:rsidP="0005263B">
      <w:pPr>
        <w:tabs>
          <w:tab w:val="left" w:pos="540"/>
        </w:tabs>
        <w:ind w:left="547"/>
        <w:jc w:val="both"/>
        <w:rPr>
          <w:b/>
          <w:spacing w:val="-2"/>
          <w:sz w:val="20"/>
          <w:szCs w:val="20"/>
        </w:rPr>
      </w:pPr>
      <w:r w:rsidRPr="00A60F02">
        <w:rPr>
          <w:b/>
          <w:spacing w:val="-2"/>
          <w:sz w:val="20"/>
          <w:szCs w:val="20"/>
        </w:rPr>
        <w:t>Borrowing Costs</w:t>
      </w:r>
    </w:p>
    <w:p w:rsidR="00A60F02" w:rsidRDefault="00A60F02" w:rsidP="0005263B">
      <w:pPr>
        <w:tabs>
          <w:tab w:val="left" w:pos="540"/>
        </w:tabs>
        <w:ind w:left="547"/>
        <w:jc w:val="both"/>
        <w:rPr>
          <w:spacing w:val="-2"/>
          <w:sz w:val="20"/>
          <w:szCs w:val="20"/>
        </w:rPr>
      </w:pPr>
    </w:p>
    <w:p w:rsidR="00A60F02" w:rsidRDefault="00A60F02" w:rsidP="0005263B">
      <w:pPr>
        <w:tabs>
          <w:tab w:val="left" w:pos="540"/>
        </w:tabs>
        <w:ind w:left="547"/>
        <w:jc w:val="both"/>
        <w:rPr>
          <w:spacing w:val="-2"/>
          <w:sz w:val="20"/>
          <w:szCs w:val="20"/>
        </w:rPr>
      </w:pPr>
      <w:r>
        <w:rPr>
          <w:spacing w:val="-2"/>
          <w:sz w:val="20"/>
          <w:szCs w:val="20"/>
        </w:rPr>
        <w:t>All borrowing costs are recognized in profit or loss in the period in which they are incurred.</w:t>
      </w:r>
    </w:p>
    <w:p w:rsidR="00A60F02" w:rsidRDefault="00A60F02" w:rsidP="0005263B">
      <w:pPr>
        <w:tabs>
          <w:tab w:val="left" w:pos="540"/>
        </w:tabs>
        <w:ind w:left="547"/>
        <w:jc w:val="both"/>
        <w:rPr>
          <w:spacing w:val="-2"/>
          <w:sz w:val="20"/>
          <w:szCs w:val="20"/>
        </w:rPr>
      </w:pPr>
    </w:p>
    <w:p w:rsidR="008004D4" w:rsidRDefault="008004D4" w:rsidP="0005263B">
      <w:pPr>
        <w:tabs>
          <w:tab w:val="left" w:pos="540"/>
        </w:tabs>
        <w:ind w:left="547"/>
        <w:jc w:val="both"/>
        <w:rPr>
          <w:b/>
          <w:spacing w:val="-2"/>
          <w:sz w:val="20"/>
          <w:szCs w:val="20"/>
        </w:rPr>
      </w:pPr>
      <w:r>
        <w:rPr>
          <w:b/>
          <w:spacing w:val="-2"/>
          <w:sz w:val="20"/>
          <w:szCs w:val="20"/>
        </w:rPr>
        <w:t>Provisions</w:t>
      </w:r>
    </w:p>
    <w:p w:rsidR="008004D4" w:rsidRDefault="008004D4" w:rsidP="0005263B">
      <w:pPr>
        <w:tabs>
          <w:tab w:val="left" w:pos="540"/>
        </w:tabs>
        <w:ind w:left="547"/>
        <w:jc w:val="both"/>
        <w:rPr>
          <w:b/>
          <w:spacing w:val="-2"/>
          <w:sz w:val="20"/>
          <w:szCs w:val="20"/>
        </w:rPr>
      </w:pPr>
    </w:p>
    <w:p w:rsidR="008004D4" w:rsidRDefault="008004D4" w:rsidP="0005263B">
      <w:pPr>
        <w:tabs>
          <w:tab w:val="left" w:pos="540"/>
        </w:tabs>
        <w:ind w:left="547"/>
        <w:jc w:val="both"/>
        <w:rPr>
          <w:spacing w:val="-2"/>
          <w:sz w:val="20"/>
          <w:szCs w:val="20"/>
        </w:rPr>
      </w:pPr>
      <w:r w:rsidRPr="001420EA">
        <w:rPr>
          <w:spacing w:val="-2"/>
          <w:sz w:val="20"/>
          <w:szCs w:val="20"/>
        </w:rPr>
        <w:t>Provisions are recognized when the Company has: (a) present obligation (legal or constructive) as a result of a past event; (b.) it is probable (i.e., more likely than not) that an outflow of resources embodying economic benefits will be required to settle the obligation; and (c) a reliable estimate can be made of the amount</w:t>
      </w:r>
      <w:r w:rsidR="001420EA" w:rsidRPr="001420EA">
        <w:rPr>
          <w:spacing w:val="-2"/>
          <w:sz w:val="20"/>
          <w:szCs w:val="20"/>
        </w:rPr>
        <w:t xml:space="preserve"> of the obligation.  If the effect of the time value of money is material, provisions are determined by discounting the expected future cash </w:t>
      </w:r>
      <w:proofErr w:type="gramStart"/>
      <w:r w:rsidR="001420EA" w:rsidRPr="001420EA">
        <w:rPr>
          <w:spacing w:val="-2"/>
          <w:sz w:val="20"/>
          <w:szCs w:val="20"/>
        </w:rPr>
        <w:t>flows  at</w:t>
      </w:r>
      <w:proofErr w:type="gramEnd"/>
      <w:r w:rsidR="001420EA" w:rsidRPr="001420EA">
        <w:rPr>
          <w:spacing w:val="-2"/>
          <w:sz w:val="20"/>
          <w:szCs w:val="20"/>
        </w:rPr>
        <w:t xml:space="preserve"> a pre-tax rate that reflects current market assessment of the time value of money and where appropriate, the risks specific to the liability.  Where discounting is used, the increase in the provision due to the passage of time is recognized as interest expense.  Where the Company expects a provision to be reimbursed, the reimbursement is recognized as a separate asset but only when the receipt of the reimbursement is virtually certain.  Provision are reviewed at each reporting date and adjusted to reflect the current best estimate.</w:t>
      </w:r>
    </w:p>
    <w:p w:rsidR="001420EA" w:rsidRPr="001420EA" w:rsidRDefault="001420EA" w:rsidP="0005263B">
      <w:pPr>
        <w:tabs>
          <w:tab w:val="left" w:pos="540"/>
        </w:tabs>
        <w:ind w:left="547"/>
        <w:jc w:val="both"/>
        <w:rPr>
          <w:spacing w:val="-2"/>
          <w:sz w:val="20"/>
          <w:szCs w:val="20"/>
        </w:rPr>
      </w:pPr>
    </w:p>
    <w:p w:rsidR="00E42519" w:rsidRPr="00A60F02" w:rsidRDefault="001420EA" w:rsidP="0005263B">
      <w:pPr>
        <w:tabs>
          <w:tab w:val="left" w:pos="540"/>
        </w:tabs>
        <w:ind w:left="547"/>
        <w:jc w:val="both"/>
        <w:rPr>
          <w:b/>
          <w:spacing w:val="-2"/>
          <w:sz w:val="20"/>
          <w:szCs w:val="20"/>
        </w:rPr>
      </w:pPr>
      <w:r>
        <w:rPr>
          <w:b/>
          <w:spacing w:val="-2"/>
          <w:sz w:val="20"/>
          <w:szCs w:val="20"/>
        </w:rPr>
        <w:t>Equity</w:t>
      </w:r>
    </w:p>
    <w:p w:rsidR="00A60F02" w:rsidRDefault="00A60F02" w:rsidP="0005263B">
      <w:pPr>
        <w:tabs>
          <w:tab w:val="left" w:pos="540"/>
        </w:tabs>
        <w:ind w:left="547"/>
        <w:jc w:val="both"/>
        <w:rPr>
          <w:spacing w:val="-2"/>
          <w:sz w:val="20"/>
          <w:szCs w:val="20"/>
        </w:rPr>
      </w:pPr>
    </w:p>
    <w:p w:rsidR="00A60F02" w:rsidRDefault="00A60F02" w:rsidP="0005263B">
      <w:pPr>
        <w:tabs>
          <w:tab w:val="left" w:pos="540"/>
        </w:tabs>
        <w:ind w:left="547"/>
        <w:jc w:val="both"/>
        <w:rPr>
          <w:spacing w:val="-2"/>
          <w:sz w:val="20"/>
          <w:szCs w:val="20"/>
        </w:rPr>
      </w:pPr>
      <w:r>
        <w:rPr>
          <w:spacing w:val="-2"/>
          <w:sz w:val="20"/>
          <w:szCs w:val="20"/>
        </w:rPr>
        <w:t>Capital stock is recognized based on the par value of shares issued, net of related cost of issuance.</w:t>
      </w:r>
    </w:p>
    <w:p w:rsidR="00A60F02" w:rsidRDefault="00A60F02" w:rsidP="0005263B">
      <w:pPr>
        <w:tabs>
          <w:tab w:val="left" w:pos="540"/>
        </w:tabs>
        <w:ind w:left="547"/>
        <w:jc w:val="both"/>
        <w:rPr>
          <w:spacing w:val="-2"/>
          <w:sz w:val="20"/>
          <w:szCs w:val="20"/>
        </w:rPr>
      </w:pPr>
    </w:p>
    <w:p w:rsidR="00A60F02" w:rsidRDefault="00A60F02" w:rsidP="0005263B">
      <w:pPr>
        <w:tabs>
          <w:tab w:val="left" w:pos="540"/>
        </w:tabs>
        <w:ind w:left="547"/>
        <w:jc w:val="both"/>
        <w:rPr>
          <w:spacing w:val="-2"/>
          <w:sz w:val="20"/>
          <w:szCs w:val="20"/>
        </w:rPr>
      </w:pPr>
      <w:r>
        <w:rPr>
          <w:spacing w:val="-2"/>
          <w:sz w:val="20"/>
          <w:szCs w:val="20"/>
        </w:rPr>
        <w:t xml:space="preserve">Retained earnings include all current and prior period results of operations as reported in profit or </w:t>
      </w:r>
      <w:r w:rsidR="00A23B1F">
        <w:rPr>
          <w:spacing w:val="-2"/>
          <w:sz w:val="20"/>
          <w:szCs w:val="20"/>
        </w:rPr>
        <w:t>loss.</w:t>
      </w:r>
    </w:p>
    <w:p w:rsidR="00A23B1F" w:rsidRDefault="00A23B1F" w:rsidP="0005263B">
      <w:pPr>
        <w:tabs>
          <w:tab w:val="left" w:pos="540"/>
        </w:tabs>
        <w:ind w:left="547"/>
        <w:jc w:val="both"/>
        <w:rPr>
          <w:spacing w:val="-2"/>
          <w:sz w:val="20"/>
          <w:szCs w:val="20"/>
        </w:rPr>
      </w:pPr>
    </w:p>
    <w:p w:rsidR="00A23B1F" w:rsidRPr="00A23B1F" w:rsidRDefault="00A23B1F" w:rsidP="0005263B">
      <w:pPr>
        <w:tabs>
          <w:tab w:val="left" w:pos="540"/>
        </w:tabs>
        <w:ind w:left="547"/>
        <w:jc w:val="both"/>
        <w:rPr>
          <w:b/>
          <w:spacing w:val="-2"/>
          <w:sz w:val="20"/>
          <w:szCs w:val="20"/>
        </w:rPr>
      </w:pPr>
      <w:r w:rsidRPr="00A23B1F">
        <w:rPr>
          <w:b/>
          <w:spacing w:val="-2"/>
          <w:sz w:val="20"/>
          <w:szCs w:val="20"/>
        </w:rPr>
        <w:t>Revenue Recognition</w:t>
      </w:r>
    </w:p>
    <w:p w:rsidR="00E42519" w:rsidRDefault="00E42519" w:rsidP="0005263B">
      <w:pPr>
        <w:tabs>
          <w:tab w:val="left" w:pos="540"/>
        </w:tabs>
        <w:ind w:left="547"/>
        <w:jc w:val="both"/>
        <w:rPr>
          <w:spacing w:val="-2"/>
          <w:sz w:val="20"/>
          <w:szCs w:val="20"/>
        </w:rPr>
      </w:pPr>
    </w:p>
    <w:p w:rsidR="00A23B1F" w:rsidRDefault="00A23B1F" w:rsidP="0005263B">
      <w:pPr>
        <w:tabs>
          <w:tab w:val="left" w:pos="540"/>
        </w:tabs>
        <w:ind w:left="547"/>
        <w:jc w:val="both"/>
        <w:rPr>
          <w:spacing w:val="-2"/>
          <w:sz w:val="20"/>
          <w:szCs w:val="20"/>
        </w:rPr>
      </w:pPr>
      <w:r>
        <w:rPr>
          <w:spacing w:val="-2"/>
          <w:sz w:val="20"/>
          <w:szCs w:val="20"/>
        </w:rPr>
        <w:t>Revenue is recognized to the extent that it is probable that the economic benefits will flow to the Company and the revenue can be reliably measured.</w:t>
      </w:r>
    </w:p>
    <w:p w:rsidR="00A23B1F" w:rsidRDefault="00A23B1F" w:rsidP="0005263B">
      <w:pPr>
        <w:tabs>
          <w:tab w:val="left" w:pos="540"/>
        </w:tabs>
        <w:ind w:left="547"/>
        <w:jc w:val="both"/>
        <w:rPr>
          <w:spacing w:val="-2"/>
          <w:sz w:val="20"/>
          <w:szCs w:val="20"/>
        </w:rPr>
      </w:pPr>
    </w:p>
    <w:p w:rsidR="00E42519" w:rsidRDefault="00A23B1F" w:rsidP="0005263B">
      <w:pPr>
        <w:tabs>
          <w:tab w:val="left" w:pos="540"/>
        </w:tabs>
        <w:ind w:left="547"/>
        <w:jc w:val="both"/>
        <w:rPr>
          <w:spacing w:val="-2"/>
          <w:sz w:val="20"/>
          <w:szCs w:val="20"/>
        </w:rPr>
      </w:pPr>
      <w:r>
        <w:rPr>
          <w:spacing w:val="-2"/>
          <w:sz w:val="20"/>
          <w:szCs w:val="20"/>
        </w:rPr>
        <w:t>Revenue is recognized when the risk and rewards of ownership of the goods have passed to the buyer.  This is generally when the customer has taken undisputed delivery of goods.</w:t>
      </w:r>
    </w:p>
    <w:p w:rsidR="00A23B1F" w:rsidRDefault="00A23B1F" w:rsidP="0005263B">
      <w:pPr>
        <w:tabs>
          <w:tab w:val="left" w:pos="540"/>
        </w:tabs>
        <w:ind w:left="547"/>
        <w:jc w:val="both"/>
        <w:rPr>
          <w:spacing w:val="-2"/>
          <w:sz w:val="20"/>
          <w:szCs w:val="20"/>
        </w:rPr>
      </w:pPr>
    </w:p>
    <w:p w:rsidR="00A23B1F" w:rsidRDefault="00A23B1F" w:rsidP="0005263B">
      <w:pPr>
        <w:tabs>
          <w:tab w:val="left" w:pos="540"/>
        </w:tabs>
        <w:ind w:left="547"/>
        <w:jc w:val="both"/>
        <w:rPr>
          <w:spacing w:val="-2"/>
          <w:sz w:val="20"/>
          <w:szCs w:val="20"/>
        </w:rPr>
      </w:pPr>
      <w:r>
        <w:rPr>
          <w:spacing w:val="-2"/>
          <w:sz w:val="20"/>
          <w:szCs w:val="20"/>
        </w:rPr>
        <w:t>Other income, including interest which is presented net of applicable tax withheld is recognized when earned.</w:t>
      </w:r>
    </w:p>
    <w:p w:rsidR="00E42519" w:rsidRDefault="00E42519" w:rsidP="0005263B">
      <w:pPr>
        <w:tabs>
          <w:tab w:val="left" w:pos="540"/>
        </w:tabs>
        <w:ind w:left="547"/>
        <w:jc w:val="both"/>
        <w:rPr>
          <w:spacing w:val="-2"/>
          <w:sz w:val="20"/>
          <w:szCs w:val="20"/>
        </w:rPr>
      </w:pPr>
    </w:p>
    <w:p w:rsidR="00214C10" w:rsidRPr="00734885" w:rsidRDefault="00A23B1F" w:rsidP="0005263B">
      <w:pPr>
        <w:tabs>
          <w:tab w:val="left" w:pos="540"/>
        </w:tabs>
        <w:ind w:left="547"/>
        <w:jc w:val="both"/>
        <w:rPr>
          <w:b/>
          <w:spacing w:val="-2"/>
          <w:sz w:val="20"/>
          <w:szCs w:val="20"/>
        </w:rPr>
      </w:pPr>
      <w:r w:rsidRPr="00734885">
        <w:rPr>
          <w:b/>
          <w:spacing w:val="-2"/>
          <w:sz w:val="20"/>
          <w:szCs w:val="20"/>
        </w:rPr>
        <w:t>Cost and Expense Recognition</w:t>
      </w:r>
    </w:p>
    <w:p w:rsidR="00305E34" w:rsidRDefault="00305E34" w:rsidP="0005263B">
      <w:pPr>
        <w:tabs>
          <w:tab w:val="left" w:pos="540"/>
        </w:tabs>
        <w:ind w:left="547"/>
        <w:jc w:val="both"/>
        <w:rPr>
          <w:b/>
          <w:spacing w:val="-2"/>
          <w:sz w:val="20"/>
          <w:szCs w:val="20"/>
        </w:rPr>
      </w:pPr>
    </w:p>
    <w:p w:rsidR="00305E34" w:rsidRPr="00734885" w:rsidRDefault="00305E34" w:rsidP="0005263B">
      <w:pPr>
        <w:tabs>
          <w:tab w:val="left" w:pos="540"/>
        </w:tabs>
        <w:ind w:left="547"/>
        <w:jc w:val="both"/>
        <w:rPr>
          <w:spacing w:val="-2"/>
          <w:sz w:val="20"/>
          <w:szCs w:val="20"/>
        </w:rPr>
      </w:pPr>
      <w:r w:rsidRPr="00734885">
        <w:rPr>
          <w:spacing w:val="-2"/>
          <w:sz w:val="20"/>
          <w:szCs w:val="20"/>
        </w:rPr>
        <w:t xml:space="preserve">The financial statements are prepared on the accrual basis of accounting.  Under this basis, </w:t>
      </w:r>
      <w:r w:rsidR="00734885" w:rsidRPr="00734885">
        <w:rPr>
          <w:spacing w:val="-2"/>
          <w:sz w:val="20"/>
          <w:szCs w:val="20"/>
        </w:rPr>
        <w:t>expenses are recognized when they are occur and reported in the financial statements in the periods to which they relate.</w:t>
      </w:r>
    </w:p>
    <w:p w:rsidR="00734885" w:rsidRDefault="00734885" w:rsidP="0005263B">
      <w:pPr>
        <w:tabs>
          <w:tab w:val="left" w:pos="540"/>
        </w:tabs>
        <w:ind w:left="547"/>
        <w:jc w:val="both"/>
        <w:rPr>
          <w:b/>
          <w:spacing w:val="-2"/>
          <w:sz w:val="20"/>
          <w:szCs w:val="20"/>
        </w:rPr>
      </w:pPr>
    </w:p>
    <w:p w:rsidR="00FB3580" w:rsidRPr="00A23B1F" w:rsidRDefault="00FB3580" w:rsidP="0005263B">
      <w:pPr>
        <w:tabs>
          <w:tab w:val="left" w:pos="540"/>
        </w:tabs>
        <w:ind w:left="547"/>
        <w:jc w:val="both"/>
        <w:rPr>
          <w:b/>
          <w:spacing w:val="-2"/>
          <w:sz w:val="20"/>
          <w:szCs w:val="20"/>
        </w:rPr>
      </w:pPr>
    </w:p>
    <w:p w:rsidR="00A23B1F" w:rsidRDefault="00734885" w:rsidP="0005263B">
      <w:pPr>
        <w:tabs>
          <w:tab w:val="left" w:pos="540"/>
        </w:tabs>
        <w:ind w:left="547"/>
        <w:jc w:val="both"/>
        <w:rPr>
          <w:b/>
          <w:spacing w:val="-2"/>
          <w:sz w:val="20"/>
          <w:szCs w:val="20"/>
        </w:rPr>
      </w:pPr>
      <w:r>
        <w:rPr>
          <w:b/>
          <w:spacing w:val="-2"/>
          <w:sz w:val="20"/>
          <w:szCs w:val="20"/>
        </w:rPr>
        <w:t>Income Tax</w:t>
      </w:r>
    </w:p>
    <w:p w:rsidR="00734885" w:rsidRDefault="00734885" w:rsidP="0005263B">
      <w:pPr>
        <w:tabs>
          <w:tab w:val="left" w:pos="540"/>
        </w:tabs>
        <w:ind w:left="547"/>
        <w:jc w:val="both"/>
        <w:rPr>
          <w:b/>
          <w:spacing w:val="-2"/>
          <w:sz w:val="20"/>
          <w:szCs w:val="20"/>
        </w:rPr>
      </w:pPr>
    </w:p>
    <w:p w:rsidR="00734885" w:rsidRDefault="00734885" w:rsidP="0005263B">
      <w:pPr>
        <w:tabs>
          <w:tab w:val="left" w:pos="540"/>
        </w:tabs>
        <w:ind w:left="547"/>
        <w:jc w:val="both"/>
        <w:rPr>
          <w:spacing w:val="-2"/>
          <w:sz w:val="20"/>
          <w:szCs w:val="20"/>
        </w:rPr>
      </w:pPr>
      <w:r w:rsidRPr="00734885">
        <w:rPr>
          <w:spacing w:val="-2"/>
          <w:sz w:val="20"/>
          <w:szCs w:val="20"/>
        </w:rPr>
        <w:t>Income tax on the profit or loss for the year comprise of current and deferred tax.  Current tax and deferred tax are recognized in profit or loss except to the extent that it relates to items recognized directly in equity, in which case it is recognized in equity.</w:t>
      </w:r>
    </w:p>
    <w:p w:rsidR="001420EA" w:rsidRDefault="001420EA" w:rsidP="0005263B">
      <w:pPr>
        <w:tabs>
          <w:tab w:val="left" w:pos="540"/>
        </w:tabs>
        <w:ind w:left="547"/>
        <w:jc w:val="both"/>
        <w:rPr>
          <w:spacing w:val="-2"/>
          <w:sz w:val="20"/>
          <w:szCs w:val="20"/>
        </w:rPr>
      </w:pPr>
    </w:p>
    <w:p w:rsidR="004B4E5B" w:rsidRDefault="0015779C" w:rsidP="0005263B">
      <w:pPr>
        <w:tabs>
          <w:tab w:val="left" w:pos="540"/>
        </w:tabs>
        <w:ind w:left="547"/>
        <w:jc w:val="both"/>
        <w:rPr>
          <w:spacing w:val="-2"/>
          <w:sz w:val="20"/>
          <w:szCs w:val="20"/>
        </w:rPr>
      </w:pPr>
      <w:r w:rsidRPr="001420EA">
        <w:rPr>
          <w:b/>
          <w:spacing w:val="-2"/>
          <w:sz w:val="20"/>
          <w:szCs w:val="20"/>
        </w:rPr>
        <w:t>Current Tax</w:t>
      </w:r>
      <w:r>
        <w:rPr>
          <w:spacing w:val="-2"/>
          <w:sz w:val="20"/>
          <w:szCs w:val="20"/>
        </w:rPr>
        <w:t xml:space="preserve"> – Current tax assets and liabilities for the current and prior periods are measured at the amount expected to be recovered from or paid to the taxation authority.  Tax rates and tax laws used to compute the amount are those that are enacted or substantively enacted at the end of the reporting date.</w:t>
      </w:r>
    </w:p>
    <w:p w:rsidR="0015779C" w:rsidRDefault="0015779C" w:rsidP="0005263B">
      <w:pPr>
        <w:tabs>
          <w:tab w:val="left" w:pos="540"/>
        </w:tabs>
        <w:ind w:left="547"/>
        <w:jc w:val="both"/>
        <w:rPr>
          <w:spacing w:val="-2"/>
          <w:sz w:val="20"/>
          <w:szCs w:val="20"/>
        </w:rPr>
      </w:pPr>
    </w:p>
    <w:p w:rsidR="0015779C" w:rsidRDefault="0015779C" w:rsidP="0005263B">
      <w:pPr>
        <w:tabs>
          <w:tab w:val="left" w:pos="540"/>
        </w:tabs>
        <w:ind w:left="547"/>
        <w:jc w:val="both"/>
        <w:rPr>
          <w:spacing w:val="-2"/>
          <w:sz w:val="20"/>
          <w:szCs w:val="20"/>
        </w:rPr>
      </w:pPr>
      <w:r w:rsidRPr="001420EA">
        <w:rPr>
          <w:b/>
          <w:spacing w:val="-2"/>
          <w:sz w:val="20"/>
          <w:szCs w:val="20"/>
        </w:rPr>
        <w:t xml:space="preserve">Deferred Tax </w:t>
      </w:r>
      <w:r>
        <w:rPr>
          <w:spacing w:val="-2"/>
          <w:sz w:val="20"/>
          <w:szCs w:val="20"/>
        </w:rPr>
        <w:t>– Deferred tax is provided using the ability method on temporary differences at the end of the reporting date between the tax bases of assets and liabilities and their carrying amounts for financial reporting purposes.</w:t>
      </w:r>
    </w:p>
    <w:p w:rsidR="0015779C" w:rsidRDefault="0015779C" w:rsidP="0005263B">
      <w:pPr>
        <w:tabs>
          <w:tab w:val="left" w:pos="540"/>
        </w:tabs>
        <w:ind w:left="547"/>
        <w:jc w:val="both"/>
        <w:rPr>
          <w:spacing w:val="-2"/>
          <w:sz w:val="20"/>
          <w:szCs w:val="20"/>
        </w:rPr>
      </w:pPr>
    </w:p>
    <w:p w:rsidR="0015779C" w:rsidRDefault="0015779C" w:rsidP="0005263B">
      <w:pPr>
        <w:tabs>
          <w:tab w:val="left" w:pos="540"/>
        </w:tabs>
        <w:ind w:left="547"/>
        <w:jc w:val="both"/>
        <w:rPr>
          <w:spacing w:val="-2"/>
          <w:sz w:val="20"/>
          <w:szCs w:val="20"/>
        </w:rPr>
      </w:pPr>
      <w:r>
        <w:rPr>
          <w:spacing w:val="-2"/>
          <w:sz w:val="20"/>
          <w:szCs w:val="20"/>
        </w:rPr>
        <w:t xml:space="preserve">Deferred tax liabilities are recognized for all taxable temporary differences.  Deferred tax assets are recognized for all deductible temporary differences, </w:t>
      </w:r>
      <w:proofErr w:type="spellStart"/>
      <w:r>
        <w:rPr>
          <w:spacing w:val="-2"/>
          <w:sz w:val="20"/>
          <w:szCs w:val="20"/>
        </w:rPr>
        <w:t>carryforward</w:t>
      </w:r>
      <w:proofErr w:type="spellEnd"/>
      <w:r>
        <w:rPr>
          <w:spacing w:val="-2"/>
          <w:sz w:val="20"/>
          <w:szCs w:val="20"/>
        </w:rPr>
        <w:t xml:space="preserve"> benefits of unused excess</w:t>
      </w:r>
      <w:r w:rsidR="005C657D">
        <w:rPr>
          <w:spacing w:val="-2"/>
          <w:sz w:val="20"/>
          <w:szCs w:val="20"/>
        </w:rPr>
        <w:t xml:space="preserve"> minimum corporate income tax (MCIT) over the regular corporate income tax and unused net operating loss carry over (NOLCO), to the extent that it is probable that taxable profit will be available against which the deductible temporary differences, and the </w:t>
      </w:r>
      <w:proofErr w:type="spellStart"/>
      <w:r w:rsidR="005C657D">
        <w:rPr>
          <w:spacing w:val="-2"/>
          <w:sz w:val="20"/>
          <w:szCs w:val="20"/>
        </w:rPr>
        <w:t>carryforward</w:t>
      </w:r>
      <w:proofErr w:type="spellEnd"/>
      <w:r w:rsidR="005C657D">
        <w:rPr>
          <w:spacing w:val="-2"/>
          <w:sz w:val="20"/>
          <w:szCs w:val="20"/>
        </w:rPr>
        <w:t xml:space="preserve"> benefits of unused MCIT and unused NOLCO can be </w:t>
      </w:r>
      <w:r w:rsidR="00DC6C8A">
        <w:rPr>
          <w:spacing w:val="-2"/>
          <w:sz w:val="20"/>
          <w:szCs w:val="20"/>
        </w:rPr>
        <w:t>utilized.  Excess MCIT can be used within three taxable years from the date of payment and NOLCO can be charged against income of the next three taxable years.</w:t>
      </w:r>
    </w:p>
    <w:p w:rsidR="00DC6C8A" w:rsidRDefault="00DC6C8A" w:rsidP="0005263B">
      <w:pPr>
        <w:tabs>
          <w:tab w:val="left" w:pos="540"/>
        </w:tabs>
        <w:ind w:left="547"/>
        <w:jc w:val="both"/>
        <w:rPr>
          <w:spacing w:val="-2"/>
          <w:sz w:val="20"/>
          <w:szCs w:val="20"/>
        </w:rPr>
      </w:pPr>
    </w:p>
    <w:p w:rsidR="00DC6C8A" w:rsidRDefault="00DC6C8A" w:rsidP="0005263B">
      <w:pPr>
        <w:tabs>
          <w:tab w:val="left" w:pos="540"/>
        </w:tabs>
        <w:ind w:left="547"/>
        <w:jc w:val="both"/>
        <w:rPr>
          <w:spacing w:val="-2"/>
          <w:sz w:val="20"/>
          <w:szCs w:val="20"/>
        </w:rPr>
      </w:pPr>
      <w:r>
        <w:rPr>
          <w:spacing w:val="-2"/>
          <w:sz w:val="20"/>
          <w:szCs w:val="20"/>
        </w:rPr>
        <w:t>Deferred tax assets and liabilities are measured at the rates that are expected to apply to the year when the asset is realized or the liability is settled, based on tax rates (and tax laws) that have been enacted or substantively enacted at the end of the reporting date.</w:t>
      </w:r>
    </w:p>
    <w:p w:rsidR="00DC6C8A" w:rsidRDefault="00DC6C8A" w:rsidP="0005263B">
      <w:pPr>
        <w:tabs>
          <w:tab w:val="left" w:pos="540"/>
        </w:tabs>
        <w:ind w:left="547"/>
        <w:jc w:val="both"/>
        <w:rPr>
          <w:spacing w:val="-2"/>
          <w:sz w:val="20"/>
          <w:szCs w:val="20"/>
        </w:rPr>
      </w:pPr>
    </w:p>
    <w:p w:rsidR="00DC6C8A" w:rsidRDefault="00DC6C8A" w:rsidP="0005263B">
      <w:pPr>
        <w:tabs>
          <w:tab w:val="left" w:pos="540"/>
        </w:tabs>
        <w:ind w:left="547"/>
        <w:jc w:val="both"/>
        <w:rPr>
          <w:spacing w:val="-2"/>
          <w:sz w:val="20"/>
          <w:szCs w:val="20"/>
        </w:rPr>
      </w:pPr>
      <w:r>
        <w:rPr>
          <w:spacing w:val="-2"/>
          <w:sz w:val="20"/>
          <w:szCs w:val="20"/>
        </w:rPr>
        <w:t>A valuation allowance against deferred tax assets is recognized so that the net carrying amount equals the highest amount that is more likely than not to be recovered based on current or future taxable profit.  The net carrying amount of a deferred tax asset is reviewed at each reporting date and such valuation allowance is adjusted to reflect the current assessment of future taxable profits.</w:t>
      </w:r>
    </w:p>
    <w:p w:rsidR="00DC6C8A" w:rsidRDefault="00DC6C8A" w:rsidP="0005263B">
      <w:pPr>
        <w:tabs>
          <w:tab w:val="left" w:pos="540"/>
        </w:tabs>
        <w:ind w:left="547"/>
        <w:jc w:val="both"/>
        <w:rPr>
          <w:spacing w:val="-2"/>
          <w:sz w:val="20"/>
          <w:szCs w:val="20"/>
        </w:rPr>
      </w:pPr>
    </w:p>
    <w:p w:rsidR="00DC6C8A" w:rsidRDefault="00DC6C8A" w:rsidP="0005263B">
      <w:pPr>
        <w:tabs>
          <w:tab w:val="left" w:pos="540"/>
        </w:tabs>
        <w:ind w:left="547"/>
        <w:jc w:val="both"/>
        <w:rPr>
          <w:spacing w:val="-2"/>
          <w:sz w:val="20"/>
          <w:szCs w:val="20"/>
        </w:rPr>
      </w:pPr>
      <w:r>
        <w:rPr>
          <w:spacing w:val="-2"/>
          <w:sz w:val="20"/>
          <w:szCs w:val="20"/>
        </w:rPr>
        <w:t xml:space="preserve">Deferred tax assets and liabilities are offset, if a legally enforceable right exists to set off current tax assets against current tax liabilities and the </w:t>
      </w:r>
      <w:r w:rsidR="003115F9">
        <w:rPr>
          <w:spacing w:val="-2"/>
          <w:sz w:val="20"/>
          <w:szCs w:val="20"/>
        </w:rPr>
        <w:t>deferred tax relate to the same taxable entity and the same taxation authority.</w:t>
      </w:r>
    </w:p>
    <w:p w:rsidR="003115F9" w:rsidRDefault="003115F9" w:rsidP="0005263B">
      <w:pPr>
        <w:tabs>
          <w:tab w:val="left" w:pos="540"/>
        </w:tabs>
        <w:ind w:left="547"/>
        <w:jc w:val="both"/>
        <w:rPr>
          <w:spacing w:val="-2"/>
          <w:sz w:val="20"/>
          <w:szCs w:val="20"/>
        </w:rPr>
      </w:pPr>
    </w:p>
    <w:p w:rsidR="003115F9" w:rsidRDefault="003115F9" w:rsidP="0005263B">
      <w:pPr>
        <w:tabs>
          <w:tab w:val="left" w:pos="540"/>
        </w:tabs>
        <w:ind w:left="547"/>
        <w:jc w:val="both"/>
        <w:rPr>
          <w:b/>
          <w:spacing w:val="-2"/>
          <w:sz w:val="20"/>
          <w:szCs w:val="20"/>
        </w:rPr>
      </w:pPr>
      <w:r w:rsidRPr="003115F9">
        <w:rPr>
          <w:b/>
          <w:spacing w:val="-2"/>
          <w:sz w:val="20"/>
          <w:szCs w:val="20"/>
        </w:rPr>
        <w:t>Value-Added Tax</w:t>
      </w:r>
    </w:p>
    <w:p w:rsidR="003115F9" w:rsidRDefault="003115F9" w:rsidP="0005263B">
      <w:pPr>
        <w:tabs>
          <w:tab w:val="left" w:pos="540"/>
        </w:tabs>
        <w:ind w:left="547"/>
        <w:jc w:val="both"/>
        <w:rPr>
          <w:b/>
          <w:spacing w:val="-2"/>
          <w:sz w:val="20"/>
          <w:szCs w:val="20"/>
        </w:rPr>
      </w:pPr>
    </w:p>
    <w:p w:rsidR="003115F9" w:rsidRPr="003115F9" w:rsidRDefault="003115F9" w:rsidP="0005263B">
      <w:pPr>
        <w:tabs>
          <w:tab w:val="left" w:pos="540"/>
        </w:tabs>
        <w:ind w:left="547"/>
        <w:jc w:val="both"/>
        <w:rPr>
          <w:spacing w:val="-2"/>
          <w:sz w:val="20"/>
          <w:szCs w:val="20"/>
        </w:rPr>
      </w:pPr>
      <w:r w:rsidRPr="003115F9">
        <w:rPr>
          <w:spacing w:val="-2"/>
          <w:sz w:val="20"/>
          <w:szCs w:val="20"/>
        </w:rPr>
        <w:t>Revenues, expenses and assets are recognized net of the amount of value-added tax except;</w:t>
      </w:r>
    </w:p>
    <w:p w:rsidR="003115F9" w:rsidRDefault="003115F9" w:rsidP="0005263B">
      <w:pPr>
        <w:tabs>
          <w:tab w:val="left" w:pos="540"/>
        </w:tabs>
        <w:ind w:left="547"/>
        <w:jc w:val="both"/>
        <w:rPr>
          <w:spacing w:val="-2"/>
          <w:sz w:val="20"/>
          <w:szCs w:val="20"/>
        </w:rPr>
      </w:pPr>
    </w:p>
    <w:p w:rsidR="003115F9" w:rsidRDefault="003115F9" w:rsidP="003115F9">
      <w:pPr>
        <w:pStyle w:val="ListParagraph"/>
        <w:numPr>
          <w:ilvl w:val="0"/>
          <w:numId w:val="31"/>
        </w:numPr>
        <w:tabs>
          <w:tab w:val="left" w:pos="540"/>
        </w:tabs>
        <w:jc w:val="both"/>
        <w:rPr>
          <w:spacing w:val="-2"/>
          <w:sz w:val="20"/>
          <w:szCs w:val="20"/>
        </w:rPr>
      </w:pPr>
      <w:r>
        <w:rPr>
          <w:spacing w:val="-2"/>
          <w:sz w:val="20"/>
          <w:szCs w:val="20"/>
        </w:rPr>
        <w:t>Where the value-added tax incurred on a purchase of assets or services is not recoverable from the taxation authority in which case the value-added tax is recognized as part of the cost of acquisition of the assets or as part of the expense item as applicable; and</w:t>
      </w:r>
    </w:p>
    <w:p w:rsidR="003115F9" w:rsidRDefault="003115F9" w:rsidP="003115F9">
      <w:pPr>
        <w:pStyle w:val="ListParagraph"/>
        <w:tabs>
          <w:tab w:val="left" w:pos="540"/>
        </w:tabs>
        <w:ind w:left="907"/>
        <w:jc w:val="both"/>
        <w:rPr>
          <w:spacing w:val="-2"/>
          <w:sz w:val="20"/>
          <w:szCs w:val="20"/>
        </w:rPr>
      </w:pPr>
    </w:p>
    <w:p w:rsidR="003115F9" w:rsidRDefault="003115F9" w:rsidP="003115F9">
      <w:pPr>
        <w:pStyle w:val="ListParagraph"/>
        <w:numPr>
          <w:ilvl w:val="0"/>
          <w:numId w:val="31"/>
        </w:numPr>
        <w:tabs>
          <w:tab w:val="left" w:pos="540"/>
        </w:tabs>
        <w:jc w:val="both"/>
        <w:rPr>
          <w:spacing w:val="-2"/>
          <w:sz w:val="20"/>
          <w:szCs w:val="20"/>
        </w:rPr>
      </w:pPr>
      <w:r>
        <w:rPr>
          <w:spacing w:val="-2"/>
          <w:sz w:val="20"/>
          <w:szCs w:val="20"/>
        </w:rPr>
        <w:t>Receivables and payables are stated with the amount of value-added tax included.</w:t>
      </w:r>
    </w:p>
    <w:p w:rsidR="003115F9" w:rsidRPr="003115F9" w:rsidRDefault="003115F9" w:rsidP="003115F9">
      <w:pPr>
        <w:pStyle w:val="ListParagraph"/>
        <w:rPr>
          <w:spacing w:val="-2"/>
          <w:sz w:val="20"/>
          <w:szCs w:val="20"/>
        </w:rPr>
      </w:pPr>
    </w:p>
    <w:p w:rsidR="003115F9" w:rsidRPr="00734885" w:rsidRDefault="003115F9" w:rsidP="003115F9">
      <w:pPr>
        <w:tabs>
          <w:tab w:val="left" w:pos="540"/>
        </w:tabs>
        <w:ind w:left="540"/>
        <w:jc w:val="both"/>
        <w:rPr>
          <w:spacing w:val="-2"/>
          <w:sz w:val="20"/>
          <w:szCs w:val="20"/>
        </w:rPr>
      </w:pPr>
      <w:r>
        <w:rPr>
          <w:spacing w:val="-2"/>
          <w:sz w:val="20"/>
          <w:szCs w:val="20"/>
        </w:rPr>
        <w:t>The net amount of value-added tax recoverable from, or payable to, the taxation authority is included as part of other current assets or payable in the balance sheets.</w:t>
      </w:r>
    </w:p>
    <w:p w:rsidR="003115F9" w:rsidRDefault="003115F9" w:rsidP="0005263B">
      <w:pPr>
        <w:tabs>
          <w:tab w:val="left" w:pos="540"/>
        </w:tabs>
        <w:ind w:left="547"/>
        <w:jc w:val="both"/>
        <w:rPr>
          <w:spacing w:val="-2"/>
          <w:sz w:val="20"/>
          <w:szCs w:val="20"/>
        </w:rPr>
      </w:pPr>
    </w:p>
    <w:p w:rsidR="003115F9" w:rsidRDefault="003115F9" w:rsidP="0005263B">
      <w:pPr>
        <w:tabs>
          <w:tab w:val="left" w:pos="540"/>
        </w:tabs>
        <w:ind w:left="547"/>
        <w:jc w:val="both"/>
        <w:rPr>
          <w:b/>
          <w:spacing w:val="-2"/>
          <w:sz w:val="20"/>
          <w:szCs w:val="20"/>
        </w:rPr>
      </w:pPr>
      <w:r w:rsidRPr="003115F9">
        <w:rPr>
          <w:b/>
          <w:spacing w:val="-2"/>
          <w:sz w:val="20"/>
          <w:szCs w:val="20"/>
        </w:rPr>
        <w:t>Related Party Transactions</w:t>
      </w:r>
    </w:p>
    <w:p w:rsidR="003115F9" w:rsidRDefault="003115F9" w:rsidP="0005263B">
      <w:pPr>
        <w:tabs>
          <w:tab w:val="left" w:pos="540"/>
        </w:tabs>
        <w:ind w:left="547"/>
        <w:jc w:val="both"/>
        <w:rPr>
          <w:b/>
          <w:spacing w:val="-2"/>
          <w:sz w:val="20"/>
          <w:szCs w:val="20"/>
        </w:rPr>
      </w:pPr>
    </w:p>
    <w:p w:rsidR="003115F9" w:rsidRDefault="003115F9" w:rsidP="0005263B">
      <w:pPr>
        <w:tabs>
          <w:tab w:val="left" w:pos="540"/>
        </w:tabs>
        <w:ind w:left="547"/>
        <w:jc w:val="both"/>
        <w:rPr>
          <w:spacing w:val="-2"/>
          <w:sz w:val="20"/>
          <w:szCs w:val="20"/>
        </w:rPr>
      </w:pPr>
      <w:r w:rsidRPr="001B5DB6">
        <w:rPr>
          <w:spacing w:val="-2"/>
          <w:sz w:val="20"/>
          <w:szCs w:val="20"/>
        </w:rPr>
        <w:t>Parties are considered to be related if one party has the ability to control the other party or exercise significant influence over the other party in making financial and operati</w:t>
      </w:r>
      <w:r w:rsidR="001B5DB6" w:rsidRPr="001B5DB6">
        <w:rPr>
          <w:spacing w:val="-2"/>
          <w:sz w:val="20"/>
          <w:szCs w:val="20"/>
        </w:rPr>
        <w:t>ng decisions.  It includes companies in which one or more of the directors and/or controlling shareholder of the Company either have a beneficial controlling interest or are in a position to exercise significant influence therein.</w:t>
      </w:r>
    </w:p>
    <w:p w:rsidR="00FB3580" w:rsidRPr="001B5DB6" w:rsidRDefault="00FB3580" w:rsidP="0005263B">
      <w:pPr>
        <w:tabs>
          <w:tab w:val="left" w:pos="540"/>
        </w:tabs>
        <w:ind w:left="547"/>
        <w:jc w:val="both"/>
        <w:rPr>
          <w:spacing w:val="-2"/>
          <w:sz w:val="20"/>
          <w:szCs w:val="20"/>
        </w:rPr>
      </w:pPr>
    </w:p>
    <w:p w:rsidR="0045426E" w:rsidRPr="00AD39F6" w:rsidRDefault="0045426E" w:rsidP="0045426E">
      <w:pPr>
        <w:numPr>
          <w:ilvl w:val="0"/>
          <w:numId w:val="24"/>
        </w:numPr>
        <w:tabs>
          <w:tab w:val="clear" w:pos="900"/>
        </w:tabs>
        <w:autoSpaceDE w:val="0"/>
        <w:autoSpaceDN w:val="0"/>
        <w:adjustRightInd w:val="0"/>
        <w:ind w:left="540" w:hanging="540"/>
        <w:jc w:val="both"/>
        <w:rPr>
          <w:b/>
          <w:bCs/>
          <w:sz w:val="20"/>
          <w:szCs w:val="20"/>
        </w:rPr>
      </w:pPr>
      <w:r w:rsidRPr="00AD39F6">
        <w:rPr>
          <w:b/>
          <w:bCs/>
          <w:sz w:val="20"/>
          <w:szCs w:val="20"/>
        </w:rPr>
        <w:lastRenderedPageBreak/>
        <w:t>Cash and cash equivalent</w:t>
      </w:r>
    </w:p>
    <w:p w:rsidR="0045426E" w:rsidRPr="00AD39F6" w:rsidRDefault="0045426E" w:rsidP="0045426E">
      <w:pPr>
        <w:autoSpaceDE w:val="0"/>
        <w:autoSpaceDN w:val="0"/>
        <w:adjustRightInd w:val="0"/>
        <w:jc w:val="both"/>
        <w:rPr>
          <w:b/>
          <w:bCs/>
          <w:sz w:val="20"/>
          <w:szCs w:val="20"/>
          <w:u w:val="single"/>
        </w:rPr>
      </w:pPr>
    </w:p>
    <w:p w:rsidR="0045426E" w:rsidRPr="00AD39F6" w:rsidRDefault="0045426E" w:rsidP="0045426E">
      <w:pPr>
        <w:pStyle w:val="BodyText2"/>
        <w:ind w:left="540"/>
        <w:rPr>
          <w:sz w:val="20"/>
          <w:szCs w:val="20"/>
        </w:rPr>
      </w:pPr>
      <w:r w:rsidRPr="00AD39F6">
        <w:rPr>
          <w:sz w:val="20"/>
          <w:szCs w:val="20"/>
        </w:rPr>
        <w:t>This account consists of:</w:t>
      </w:r>
    </w:p>
    <w:bookmarkStart w:id="0" w:name="_MON_1454761107"/>
    <w:bookmarkEnd w:id="0"/>
    <w:p w:rsidR="0045426E" w:rsidRDefault="007C77BF" w:rsidP="0045426E">
      <w:pPr>
        <w:autoSpaceDE w:val="0"/>
        <w:autoSpaceDN w:val="0"/>
        <w:adjustRightInd w:val="0"/>
        <w:ind w:left="540"/>
        <w:jc w:val="both"/>
        <w:rPr>
          <w:sz w:val="20"/>
          <w:szCs w:val="20"/>
        </w:rPr>
      </w:pPr>
      <w:r w:rsidRPr="00F04644">
        <w:rPr>
          <w:sz w:val="20"/>
          <w:szCs w:val="20"/>
        </w:rPr>
        <w:object w:dxaOrig="9679" w:dyaOrig="1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64.5pt" o:ole="">
            <v:imagedata r:id="rId8" o:title=""/>
          </v:shape>
          <o:OLEObject Type="Embed" ProgID="Excel.Sheet.12" ShapeID="_x0000_i1025" DrawAspect="Content" ObjectID="_1457764192" r:id="rId9"/>
        </w:object>
      </w:r>
    </w:p>
    <w:p w:rsidR="00A97BAB" w:rsidRDefault="001B5DB6" w:rsidP="001B5DB6">
      <w:pPr>
        <w:ind w:left="495"/>
        <w:jc w:val="both"/>
        <w:rPr>
          <w:sz w:val="20"/>
          <w:szCs w:val="20"/>
        </w:rPr>
      </w:pPr>
      <w:r>
        <w:rPr>
          <w:sz w:val="20"/>
          <w:szCs w:val="20"/>
        </w:rPr>
        <w:t>Cash in banks generally earn interest at rates based on daily bank deposit rate and unrestricted as to withdrawal and can be used by the Company in its operations.</w:t>
      </w:r>
    </w:p>
    <w:p w:rsidR="0051352E" w:rsidRDefault="0051352E" w:rsidP="006045B3">
      <w:pPr>
        <w:jc w:val="both"/>
        <w:rPr>
          <w:sz w:val="20"/>
          <w:szCs w:val="20"/>
        </w:rPr>
      </w:pPr>
    </w:p>
    <w:p w:rsidR="00832819" w:rsidRDefault="00ED3E5B" w:rsidP="00832819">
      <w:pPr>
        <w:numPr>
          <w:ilvl w:val="0"/>
          <w:numId w:val="24"/>
        </w:numPr>
        <w:tabs>
          <w:tab w:val="clear" w:pos="900"/>
        </w:tabs>
        <w:autoSpaceDE w:val="0"/>
        <w:autoSpaceDN w:val="0"/>
        <w:adjustRightInd w:val="0"/>
        <w:ind w:left="540" w:hanging="540"/>
        <w:jc w:val="both"/>
        <w:rPr>
          <w:b/>
          <w:bCs/>
          <w:sz w:val="20"/>
          <w:szCs w:val="20"/>
        </w:rPr>
      </w:pPr>
      <w:r>
        <w:rPr>
          <w:b/>
          <w:bCs/>
          <w:sz w:val="20"/>
          <w:szCs w:val="20"/>
        </w:rPr>
        <w:t>Trade receivables</w:t>
      </w:r>
      <w:r w:rsidR="007933BB">
        <w:rPr>
          <w:b/>
          <w:bCs/>
          <w:sz w:val="20"/>
          <w:szCs w:val="20"/>
        </w:rPr>
        <w:t xml:space="preserve"> and other receivables</w:t>
      </w:r>
    </w:p>
    <w:p w:rsidR="00EE19A2" w:rsidRDefault="00EE19A2" w:rsidP="00EE19A2">
      <w:pPr>
        <w:autoSpaceDE w:val="0"/>
        <w:autoSpaceDN w:val="0"/>
        <w:adjustRightInd w:val="0"/>
        <w:jc w:val="both"/>
        <w:rPr>
          <w:b/>
          <w:bCs/>
          <w:sz w:val="20"/>
          <w:szCs w:val="20"/>
        </w:rPr>
      </w:pPr>
    </w:p>
    <w:bookmarkStart w:id="1" w:name="_MON_1455794846"/>
    <w:bookmarkEnd w:id="1"/>
    <w:p w:rsidR="00D02E5C" w:rsidRDefault="00741768" w:rsidP="00191D2B">
      <w:pPr>
        <w:autoSpaceDE w:val="0"/>
        <w:autoSpaceDN w:val="0"/>
        <w:adjustRightInd w:val="0"/>
        <w:ind w:left="540"/>
        <w:jc w:val="both"/>
        <w:rPr>
          <w:sz w:val="20"/>
          <w:szCs w:val="20"/>
        </w:rPr>
      </w:pPr>
      <w:r w:rsidRPr="00F04644">
        <w:rPr>
          <w:sz w:val="20"/>
          <w:szCs w:val="20"/>
        </w:rPr>
        <w:object w:dxaOrig="9777" w:dyaOrig="1802">
          <v:shape id="_x0000_i1026" type="#_x0000_t75" style="width:420pt;height:92.25pt" o:ole="">
            <v:imagedata r:id="rId10" o:title=""/>
          </v:shape>
          <o:OLEObject Type="Embed" ProgID="Excel.Sheet.12" ShapeID="_x0000_i1026" DrawAspect="Content" ObjectID="_1457764193" r:id="rId11"/>
        </w:object>
      </w:r>
    </w:p>
    <w:p w:rsidR="00191D2B" w:rsidRDefault="00191D2B" w:rsidP="00191D2B">
      <w:pPr>
        <w:autoSpaceDE w:val="0"/>
        <w:autoSpaceDN w:val="0"/>
        <w:adjustRightInd w:val="0"/>
        <w:ind w:left="540"/>
        <w:jc w:val="both"/>
        <w:rPr>
          <w:sz w:val="20"/>
          <w:szCs w:val="20"/>
        </w:rPr>
      </w:pPr>
      <w:r>
        <w:rPr>
          <w:sz w:val="20"/>
          <w:szCs w:val="20"/>
        </w:rPr>
        <w:t xml:space="preserve">No interest is charged on these receivables even if it exceeds credit period.  </w:t>
      </w:r>
    </w:p>
    <w:p w:rsidR="00BF17A7" w:rsidRDefault="00BF17A7" w:rsidP="00191D2B">
      <w:pPr>
        <w:autoSpaceDE w:val="0"/>
        <w:autoSpaceDN w:val="0"/>
        <w:adjustRightInd w:val="0"/>
        <w:ind w:left="540"/>
        <w:jc w:val="both"/>
        <w:rPr>
          <w:sz w:val="20"/>
          <w:szCs w:val="20"/>
        </w:rPr>
      </w:pPr>
    </w:p>
    <w:p w:rsidR="004759BC" w:rsidRPr="00AD39F6" w:rsidRDefault="002233F9" w:rsidP="004759BC">
      <w:pPr>
        <w:numPr>
          <w:ilvl w:val="0"/>
          <w:numId w:val="24"/>
        </w:numPr>
        <w:tabs>
          <w:tab w:val="clear" w:pos="900"/>
        </w:tabs>
        <w:autoSpaceDE w:val="0"/>
        <w:autoSpaceDN w:val="0"/>
        <w:adjustRightInd w:val="0"/>
        <w:ind w:left="540" w:hanging="540"/>
        <w:jc w:val="both"/>
        <w:rPr>
          <w:b/>
          <w:bCs/>
          <w:sz w:val="20"/>
          <w:szCs w:val="20"/>
        </w:rPr>
      </w:pPr>
      <w:r>
        <w:rPr>
          <w:b/>
          <w:bCs/>
          <w:sz w:val="20"/>
          <w:szCs w:val="20"/>
        </w:rPr>
        <w:t>Trade and Other Payables</w:t>
      </w:r>
    </w:p>
    <w:p w:rsidR="004759BC" w:rsidRPr="00AD39F6" w:rsidRDefault="004759BC" w:rsidP="004759BC">
      <w:pPr>
        <w:autoSpaceDE w:val="0"/>
        <w:autoSpaceDN w:val="0"/>
        <w:adjustRightInd w:val="0"/>
        <w:jc w:val="both"/>
        <w:rPr>
          <w:b/>
          <w:bCs/>
          <w:sz w:val="20"/>
          <w:szCs w:val="20"/>
        </w:rPr>
      </w:pPr>
    </w:p>
    <w:p w:rsidR="004759BC" w:rsidRPr="00AD39F6" w:rsidRDefault="004759BC" w:rsidP="004759BC">
      <w:pPr>
        <w:pStyle w:val="BodyText2"/>
        <w:ind w:left="540"/>
        <w:rPr>
          <w:sz w:val="20"/>
          <w:szCs w:val="20"/>
        </w:rPr>
      </w:pPr>
      <w:r w:rsidRPr="00AD39F6">
        <w:rPr>
          <w:sz w:val="20"/>
          <w:szCs w:val="20"/>
        </w:rPr>
        <w:t>This account consists of:</w:t>
      </w:r>
    </w:p>
    <w:bookmarkStart w:id="2" w:name="_MON_1454761223"/>
    <w:bookmarkEnd w:id="2"/>
    <w:p w:rsidR="004759BC" w:rsidRDefault="00406434" w:rsidP="004759BC">
      <w:pPr>
        <w:autoSpaceDE w:val="0"/>
        <w:autoSpaceDN w:val="0"/>
        <w:adjustRightInd w:val="0"/>
        <w:ind w:left="540"/>
        <w:jc w:val="both"/>
        <w:rPr>
          <w:sz w:val="20"/>
          <w:szCs w:val="20"/>
        </w:rPr>
      </w:pPr>
      <w:r w:rsidRPr="00F04644">
        <w:rPr>
          <w:sz w:val="20"/>
          <w:szCs w:val="20"/>
        </w:rPr>
        <w:object w:dxaOrig="9890" w:dyaOrig="1557">
          <v:shape id="_x0000_i1027" type="#_x0000_t75" style="width:424.5pt;height:79.5pt" o:ole="">
            <v:imagedata r:id="rId12" o:title=""/>
          </v:shape>
          <o:OLEObject Type="Embed" ProgID="Excel.Sheet.12" ShapeID="_x0000_i1027" DrawAspect="Content" ObjectID="_1457764194" r:id="rId13"/>
        </w:object>
      </w:r>
      <w:r w:rsidR="00D02E5C">
        <w:rPr>
          <w:sz w:val="20"/>
          <w:szCs w:val="20"/>
        </w:rPr>
        <w:t xml:space="preserve">Trade and other current liabilities are payable to supplier </w:t>
      </w:r>
      <w:proofErr w:type="spellStart"/>
      <w:r w:rsidR="00D02E5C">
        <w:rPr>
          <w:sz w:val="20"/>
          <w:szCs w:val="20"/>
        </w:rPr>
        <w:t>Kolin</w:t>
      </w:r>
      <w:proofErr w:type="spellEnd"/>
      <w:r w:rsidR="00D02E5C">
        <w:rPr>
          <w:sz w:val="20"/>
          <w:szCs w:val="20"/>
        </w:rPr>
        <w:t xml:space="preserve"> Philippines International, Inc. and are normally paid within 30 to 120 days from the receipt of billing statement.</w:t>
      </w:r>
    </w:p>
    <w:p w:rsidR="00D02E5C" w:rsidRDefault="00D02E5C" w:rsidP="004759BC">
      <w:pPr>
        <w:autoSpaceDE w:val="0"/>
        <w:autoSpaceDN w:val="0"/>
        <w:adjustRightInd w:val="0"/>
        <w:ind w:left="540"/>
        <w:jc w:val="both"/>
        <w:rPr>
          <w:sz w:val="20"/>
          <w:szCs w:val="20"/>
        </w:rPr>
      </w:pPr>
    </w:p>
    <w:p w:rsidR="00CF1701" w:rsidRPr="00AD39F6" w:rsidRDefault="002233F9" w:rsidP="00CF1701">
      <w:pPr>
        <w:numPr>
          <w:ilvl w:val="0"/>
          <w:numId w:val="24"/>
        </w:numPr>
        <w:tabs>
          <w:tab w:val="clear" w:pos="900"/>
        </w:tabs>
        <w:autoSpaceDE w:val="0"/>
        <w:autoSpaceDN w:val="0"/>
        <w:adjustRightInd w:val="0"/>
        <w:ind w:left="540" w:hanging="540"/>
        <w:jc w:val="both"/>
        <w:rPr>
          <w:b/>
          <w:bCs/>
          <w:sz w:val="20"/>
          <w:szCs w:val="20"/>
        </w:rPr>
      </w:pPr>
      <w:r>
        <w:rPr>
          <w:b/>
          <w:bCs/>
          <w:sz w:val="20"/>
          <w:szCs w:val="20"/>
        </w:rPr>
        <w:t>Other current liabilities</w:t>
      </w:r>
    </w:p>
    <w:p w:rsidR="00CF1701" w:rsidRDefault="00CF1701" w:rsidP="00CF1701">
      <w:pPr>
        <w:autoSpaceDE w:val="0"/>
        <w:autoSpaceDN w:val="0"/>
        <w:adjustRightInd w:val="0"/>
        <w:jc w:val="both"/>
        <w:rPr>
          <w:b/>
          <w:bCs/>
          <w:i/>
          <w:sz w:val="20"/>
          <w:szCs w:val="20"/>
          <w:u w:val="single"/>
        </w:rPr>
      </w:pPr>
    </w:p>
    <w:p w:rsidR="00CF1701" w:rsidRPr="00AD39F6" w:rsidRDefault="00CF1701" w:rsidP="00CF1701">
      <w:pPr>
        <w:pStyle w:val="BodyText2"/>
        <w:ind w:left="540"/>
        <w:rPr>
          <w:sz w:val="20"/>
          <w:szCs w:val="20"/>
        </w:rPr>
      </w:pPr>
      <w:r w:rsidRPr="00AD39F6">
        <w:rPr>
          <w:sz w:val="20"/>
          <w:szCs w:val="20"/>
        </w:rPr>
        <w:t>This account consists of:</w:t>
      </w:r>
    </w:p>
    <w:bookmarkStart w:id="3" w:name="_MON_1454762139"/>
    <w:bookmarkEnd w:id="3"/>
    <w:p w:rsidR="006541B9" w:rsidRDefault="00406434" w:rsidP="00124EEE">
      <w:pPr>
        <w:autoSpaceDE w:val="0"/>
        <w:autoSpaceDN w:val="0"/>
        <w:adjustRightInd w:val="0"/>
        <w:ind w:left="540"/>
        <w:jc w:val="both"/>
        <w:rPr>
          <w:sz w:val="20"/>
          <w:szCs w:val="20"/>
        </w:rPr>
      </w:pPr>
      <w:r w:rsidRPr="00F04644">
        <w:rPr>
          <w:sz w:val="20"/>
          <w:szCs w:val="20"/>
        </w:rPr>
        <w:object w:dxaOrig="9986" w:dyaOrig="1557">
          <v:shape id="_x0000_i1028" type="#_x0000_t75" style="width:429pt;height:79.5pt" o:ole="">
            <v:imagedata r:id="rId14" o:title=""/>
          </v:shape>
          <o:OLEObject Type="Embed" ProgID="Excel.Sheet.12" ShapeID="_x0000_i1028" DrawAspect="Content" ObjectID="_1457764195" r:id="rId15"/>
        </w:object>
      </w:r>
    </w:p>
    <w:p w:rsidR="007F4BAE" w:rsidRPr="007F4BAE" w:rsidRDefault="007F4BAE" w:rsidP="007F4BAE">
      <w:pPr>
        <w:numPr>
          <w:ilvl w:val="0"/>
          <w:numId w:val="24"/>
        </w:numPr>
        <w:tabs>
          <w:tab w:val="clear" w:pos="900"/>
        </w:tabs>
        <w:autoSpaceDE w:val="0"/>
        <w:autoSpaceDN w:val="0"/>
        <w:adjustRightInd w:val="0"/>
        <w:ind w:left="540" w:hanging="540"/>
        <w:jc w:val="both"/>
        <w:rPr>
          <w:bCs/>
          <w:sz w:val="20"/>
          <w:szCs w:val="20"/>
        </w:rPr>
      </w:pPr>
      <w:r w:rsidRPr="007F4BAE">
        <w:rPr>
          <w:bCs/>
          <w:sz w:val="20"/>
          <w:szCs w:val="20"/>
        </w:rPr>
        <w:t>Related party relationship exists when one party has ability to control directly, or indirectly, through one or more intermediaries, the other party or exercise significant influence over the other party in making financial and operating decisions.  Such relationship also exists between and / or among entities which are under common control with the reporting enterprises, or between and / or among the reporting enterprises and their key management personnel, directors, or its stockholders.</w:t>
      </w:r>
    </w:p>
    <w:p w:rsidR="006541B9" w:rsidRDefault="006541B9" w:rsidP="00124EEE">
      <w:pPr>
        <w:autoSpaceDE w:val="0"/>
        <w:autoSpaceDN w:val="0"/>
        <w:adjustRightInd w:val="0"/>
        <w:ind w:left="540"/>
        <w:jc w:val="both"/>
        <w:rPr>
          <w:sz w:val="20"/>
          <w:szCs w:val="20"/>
        </w:rPr>
      </w:pPr>
    </w:p>
    <w:p w:rsidR="002D6771" w:rsidRPr="004E0D58" w:rsidRDefault="009C24C2" w:rsidP="002D6771">
      <w:pPr>
        <w:pStyle w:val="ListParagraph"/>
        <w:numPr>
          <w:ilvl w:val="0"/>
          <w:numId w:val="34"/>
        </w:numPr>
        <w:autoSpaceDE w:val="0"/>
        <w:autoSpaceDN w:val="0"/>
        <w:adjustRightInd w:val="0"/>
        <w:jc w:val="both"/>
        <w:rPr>
          <w:sz w:val="20"/>
          <w:szCs w:val="20"/>
        </w:rPr>
      </w:pPr>
      <w:r w:rsidRPr="004E0D58">
        <w:rPr>
          <w:sz w:val="20"/>
          <w:szCs w:val="20"/>
        </w:rPr>
        <w:t>The Company</w:t>
      </w:r>
      <w:r w:rsidR="005F25AE" w:rsidRPr="004E0D58">
        <w:rPr>
          <w:sz w:val="20"/>
          <w:szCs w:val="20"/>
        </w:rPr>
        <w:t xml:space="preserve"> </w:t>
      </w:r>
      <w:r w:rsidR="00896CDB" w:rsidRPr="004E0D58">
        <w:rPr>
          <w:sz w:val="20"/>
          <w:szCs w:val="20"/>
        </w:rPr>
        <w:t xml:space="preserve">has </w:t>
      </w:r>
      <w:r w:rsidR="004E0D58" w:rsidRPr="004E0D58">
        <w:rPr>
          <w:sz w:val="20"/>
          <w:szCs w:val="20"/>
        </w:rPr>
        <w:t xml:space="preserve">no </w:t>
      </w:r>
      <w:r w:rsidR="00896CDB" w:rsidRPr="004E0D58">
        <w:rPr>
          <w:sz w:val="20"/>
          <w:szCs w:val="20"/>
        </w:rPr>
        <w:t xml:space="preserve">receivables </w:t>
      </w:r>
      <w:r w:rsidR="004E0D58" w:rsidRPr="004E0D58">
        <w:rPr>
          <w:sz w:val="20"/>
          <w:szCs w:val="20"/>
        </w:rPr>
        <w:t xml:space="preserve">and payables </w:t>
      </w:r>
      <w:r w:rsidR="00896CDB" w:rsidRPr="004E0D58">
        <w:rPr>
          <w:sz w:val="20"/>
          <w:szCs w:val="20"/>
        </w:rPr>
        <w:t xml:space="preserve">to </w:t>
      </w:r>
      <w:r w:rsidR="004E0D58" w:rsidRPr="004E0D58">
        <w:rPr>
          <w:sz w:val="20"/>
          <w:szCs w:val="20"/>
        </w:rPr>
        <w:t xml:space="preserve">related party </w:t>
      </w:r>
      <w:r w:rsidR="004E0D58">
        <w:rPr>
          <w:sz w:val="20"/>
          <w:szCs w:val="20"/>
        </w:rPr>
        <w:t>as at December 31, 2013</w:t>
      </w:r>
    </w:p>
    <w:p w:rsidR="009C24C2" w:rsidRDefault="00896CDB" w:rsidP="00896CDB">
      <w:pPr>
        <w:autoSpaceDE w:val="0"/>
        <w:autoSpaceDN w:val="0"/>
        <w:adjustRightInd w:val="0"/>
        <w:ind w:firstLine="540"/>
        <w:jc w:val="both"/>
        <w:rPr>
          <w:sz w:val="20"/>
          <w:szCs w:val="20"/>
        </w:rPr>
      </w:pPr>
      <w:r>
        <w:rPr>
          <w:sz w:val="20"/>
          <w:szCs w:val="20"/>
        </w:rPr>
        <w:t>B</w:t>
      </w:r>
      <w:r w:rsidR="00F76014">
        <w:rPr>
          <w:sz w:val="20"/>
          <w:szCs w:val="20"/>
        </w:rPr>
        <w:t xml:space="preserve">. There were no </w:t>
      </w:r>
      <w:proofErr w:type="spellStart"/>
      <w:r w:rsidR="00F76014">
        <w:rPr>
          <w:sz w:val="20"/>
          <w:szCs w:val="20"/>
        </w:rPr>
        <w:t>renumeration</w:t>
      </w:r>
      <w:proofErr w:type="spellEnd"/>
      <w:r w:rsidR="00F76014">
        <w:rPr>
          <w:sz w:val="20"/>
          <w:szCs w:val="20"/>
        </w:rPr>
        <w:t xml:space="preserve"> paid to key management personnel as of December 31, 2013</w:t>
      </w:r>
    </w:p>
    <w:p w:rsidR="00F76014" w:rsidRDefault="00F76014" w:rsidP="00F76014">
      <w:pPr>
        <w:autoSpaceDE w:val="0"/>
        <w:autoSpaceDN w:val="0"/>
        <w:adjustRightInd w:val="0"/>
        <w:ind w:left="540"/>
        <w:jc w:val="both"/>
        <w:rPr>
          <w:sz w:val="20"/>
          <w:szCs w:val="20"/>
        </w:rPr>
      </w:pPr>
    </w:p>
    <w:p w:rsidR="007502E5" w:rsidRPr="007502E5" w:rsidRDefault="00F044CC" w:rsidP="007502E5">
      <w:pPr>
        <w:numPr>
          <w:ilvl w:val="0"/>
          <w:numId w:val="24"/>
        </w:numPr>
        <w:tabs>
          <w:tab w:val="clear" w:pos="900"/>
        </w:tabs>
        <w:autoSpaceDE w:val="0"/>
        <w:autoSpaceDN w:val="0"/>
        <w:adjustRightInd w:val="0"/>
        <w:ind w:left="540" w:hanging="540"/>
        <w:jc w:val="both"/>
        <w:rPr>
          <w:b/>
          <w:bCs/>
          <w:sz w:val="20"/>
          <w:szCs w:val="20"/>
        </w:rPr>
      </w:pPr>
      <w:r w:rsidRPr="00AD39F6">
        <w:rPr>
          <w:b/>
          <w:bCs/>
          <w:sz w:val="20"/>
          <w:szCs w:val="20"/>
        </w:rPr>
        <w:t>Share c</w:t>
      </w:r>
      <w:r w:rsidR="00F76014">
        <w:rPr>
          <w:b/>
          <w:bCs/>
          <w:sz w:val="20"/>
          <w:szCs w:val="20"/>
        </w:rPr>
        <w:t xml:space="preserve">apital </w:t>
      </w:r>
    </w:p>
    <w:p w:rsidR="005A5407" w:rsidRDefault="005A5407" w:rsidP="009B1B59">
      <w:pPr>
        <w:ind w:left="540"/>
        <w:jc w:val="both"/>
        <w:rPr>
          <w:sz w:val="20"/>
          <w:szCs w:val="20"/>
        </w:rPr>
      </w:pPr>
    </w:p>
    <w:p w:rsidR="00AF06C7" w:rsidRDefault="009B1B59" w:rsidP="005543AE">
      <w:pPr>
        <w:ind w:left="540"/>
        <w:jc w:val="both"/>
        <w:rPr>
          <w:sz w:val="20"/>
          <w:szCs w:val="20"/>
        </w:rPr>
      </w:pPr>
      <w:r w:rsidRPr="009B1B59">
        <w:rPr>
          <w:sz w:val="20"/>
          <w:szCs w:val="20"/>
        </w:rPr>
        <w:t>The authorized share capital is</w:t>
      </w:r>
      <w:r w:rsidR="007502E5">
        <w:rPr>
          <w:sz w:val="20"/>
          <w:szCs w:val="20"/>
        </w:rPr>
        <w:t xml:space="preserve"> ₱1</w:t>
      </w:r>
      <w:r w:rsidR="00576DEF">
        <w:rPr>
          <w:sz w:val="20"/>
          <w:szCs w:val="20"/>
        </w:rPr>
        <w:t>0</w:t>
      </w:r>
      <w:r w:rsidR="002F5636">
        <w:rPr>
          <w:sz w:val="20"/>
          <w:szCs w:val="20"/>
        </w:rPr>
        <w:t>,</w:t>
      </w:r>
      <w:r w:rsidR="004E4BA1">
        <w:rPr>
          <w:sz w:val="20"/>
          <w:szCs w:val="20"/>
        </w:rPr>
        <w:t>0</w:t>
      </w:r>
      <w:r w:rsidR="002F5636">
        <w:rPr>
          <w:sz w:val="20"/>
          <w:szCs w:val="20"/>
        </w:rPr>
        <w:t>00</w:t>
      </w:r>
      <w:r w:rsidR="00576DEF">
        <w:rPr>
          <w:sz w:val="20"/>
          <w:szCs w:val="20"/>
        </w:rPr>
        <w:t xml:space="preserve"> </w:t>
      </w:r>
      <w:r w:rsidRPr="009B1B59">
        <w:rPr>
          <w:sz w:val="20"/>
          <w:szCs w:val="20"/>
        </w:rPr>
        <w:t xml:space="preserve">divided into </w:t>
      </w:r>
      <w:r w:rsidR="00AF06C7">
        <w:rPr>
          <w:sz w:val="20"/>
          <w:szCs w:val="20"/>
        </w:rPr>
        <w:t>2,5</w:t>
      </w:r>
      <w:r w:rsidR="00576DEF">
        <w:rPr>
          <w:sz w:val="20"/>
          <w:szCs w:val="20"/>
        </w:rPr>
        <w:t xml:space="preserve">00 </w:t>
      </w:r>
      <w:r w:rsidRPr="009B1B59">
        <w:rPr>
          <w:sz w:val="20"/>
          <w:szCs w:val="20"/>
        </w:rPr>
        <w:t xml:space="preserve">shares at </w:t>
      </w:r>
      <w:r w:rsidR="002F5636">
        <w:rPr>
          <w:sz w:val="20"/>
          <w:szCs w:val="20"/>
        </w:rPr>
        <w:t>₱</w:t>
      </w:r>
      <w:r w:rsidR="00A40FBF">
        <w:rPr>
          <w:sz w:val="20"/>
          <w:szCs w:val="20"/>
        </w:rPr>
        <w:t>1</w:t>
      </w:r>
      <w:r w:rsidR="005A5407">
        <w:rPr>
          <w:sz w:val="20"/>
          <w:szCs w:val="20"/>
        </w:rPr>
        <w:t>00</w:t>
      </w:r>
      <w:r w:rsidR="00AF06C7">
        <w:rPr>
          <w:sz w:val="20"/>
          <w:szCs w:val="20"/>
        </w:rPr>
        <w:t xml:space="preserve"> par value of which</w:t>
      </w:r>
      <w:r w:rsidR="00482AA2">
        <w:rPr>
          <w:sz w:val="20"/>
          <w:szCs w:val="20"/>
        </w:rPr>
        <w:t xml:space="preserve"> the </w:t>
      </w:r>
      <w:r w:rsidR="00AF06C7">
        <w:rPr>
          <w:sz w:val="20"/>
          <w:szCs w:val="20"/>
        </w:rPr>
        <w:t>2,500 shares are issued and outstanding as of December 31,</w:t>
      </w:r>
      <w:r w:rsidR="00117484">
        <w:rPr>
          <w:sz w:val="20"/>
          <w:szCs w:val="20"/>
        </w:rPr>
        <w:t xml:space="preserve"> 2012 for a total capital stock of P 250,000.</w:t>
      </w:r>
      <w:r w:rsidR="004E0D58">
        <w:rPr>
          <w:sz w:val="20"/>
          <w:szCs w:val="20"/>
        </w:rPr>
        <w:t xml:space="preserve"> </w:t>
      </w:r>
    </w:p>
    <w:p w:rsidR="005543AE" w:rsidRDefault="005543AE" w:rsidP="009B1B59">
      <w:pPr>
        <w:ind w:left="540"/>
        <w:jc w:val="both"/>
        <w:rPr>
          <w:sz w:val="20"/>
          <w:szCs w:val="20"/>
        </w:rPr>
      </w:pPr>
    </w:p>
    <w:p w:rsidR="005543AE" w:rsidRDefault="005543AE" w:rsidP="009B1B59">
      <w:pPr>
        <w:ind w:left="540"/>
        <w:jc w:val="both"/>
        <w:rPr>
          <w:sz w:val="20"/>
          <w:szCs w:val="20"/>
        </w:rPr>
      </w:pPr>
      <w:r>
        <w:rPr>
          <w:sz w:val="20"/>
          <w:szCs w:val="20"/>
        </w:rPr>
        <w:t>The Board of Directors and Stock</w:t>
      </w:r>
      <w:r w:rsidR="00667841">
        <w:rPr>
          <w:sz w:val="20"/>
          <w:szCs w:val="20"/>
        </w:rPr>
        <w:t xml:space="preserve">holders approved and agreed </w:t>
      </w:r>
      <w:r>
        <w:rPr>
          <w:sz w:val="20"/>
          <w:szCs w:val="20"/>
        </w:rPr>
        <w:t>capital adjustments and declaration of stock dividends for the next taxable year in view of excess of retained earnings over paid up capital.</w:t>
      </w:r>
    </w:p>
    <w:p w:rsidR="00AF06C7" w:rsidRDefault="00AF06C7" w:rsidP="009B1B59">
      <w:pPr>
        <w:ind w:left="540"/>
        <w:jc w:val="both"/>
        <w:rPr>
          <w:sz w:val="20"/>
          <w:szCs w:val="20"/>
        </w:rPr>
      </w:pPr>
    </w:p>
    <w:p w:rsidR="00117484" w:rsidRDefault="00117484" w:rsidP="009B1B59">
      <w:pPr>
        <w:ind w:left="540"/>
        <w:jc w:val="both"/>
        <w:rPr>
          <w:sz w:val="20"/>
          <w:szCs w:val="20"/>
        </w:rPr>
      </w:pPr>
      <w:r>
        <w:rPr>
          <w:sz w:val="20"/>
          <w:szCs w:val="20"/>
        </w:rPr>
        <w:t>The share capital of the Company consists only of common stock.  All shares are equally eligible to receive dividend</w:t>
      </w:r>
      <w:r w:rsidR="006541B9">
        <w:rPr>
          <w:sz w:val="20"/>
          <w:szCs w:val="20"/>
        </w:rPr>
        <w:t>s and repayment of capital and each share is entitled to one vote at the shareholders’ meeting of the Company.</w:t>
      </w:r>
    </w:p>
    <w:p w:rsidR="00124EEE" w:rsidRDefault="00124EEE" w:rsidP="009B1B59">
      <w:pPr>
        <w:ind w:left="540"/>
        <w:jc w:val="both"/>
        <w:rPr>
          <w:sz w:val="20"/>
          <w:szCs w:val="20"/>
        </w:rPr>
      </w:pPr>
    </w:p>
    <w:p w:rsidR="00386DDF" w:rsidRPr="00AD39F6" w:rsidRDefault="004325A5" w:rsidP="00386DDF">
      <w:pPr>
        <w:numPr>
          <w:ilvl w:val="0"/>
          <w:numId w:val="24"/>
        </w:numPr>
        <w:tabs>
          <w:tab w:val="clear" w:pos="900"/>
        </w:tabs>
        <w:autoSpaceDE w:val="0"/>
        <w:autoSpaceDN w:val="0"/>
        <w:adjustRightInd w:val="0"/>
        <w:ind w:left="540" w:hanging="540"/>
        <w:jc w:val="both"/>
        <w:rPr>
          <w:b/>
          <w:bCs/>
          <w:sz w:val="20"/>
          <w:szCs w:val="20"/>
        </w:rPr>
      </w:pPr>
      <w:r>
        <w:rPr>
          <w:b/>
          <w:bCs/>
          <w:sz w:val="20"/>
          <w:szCs w:val="20"/>
        </w:rPr>
        <w:t>Cumulative Earnings</w:t>
      </w:r>
    </w:p>
    <w:p w:rsidR="00386DDF" w:rsidRDefault="00386DDF" w:rsidP="00386DDF">
      <w:pPr>
        <w:autoSpaceDE w:val="0"/>
        <w:autoSpaceDN w:val="0"/>
        <w:adjustRightInd w:val="0"/>
        <w:jc w:val="both"/>
        <w:rPr>
          <w:b/>
          <w:bCs/>
          <w:i/>
          <w:sz w:val="20"/>
          <w:szCs w:val="20"/>
          <w:u w:val="single"/>
        </w:rPr>
      </w:pPr>
    </w:p>
    <w:p w:rsidR="00386DDF" w:rsidRPr="00AD39F6" w:rsidRDefault="00386DDF" w:rsidP="00386DDF">
      <w:pPr>
        <w:pStyle w:val="BodyText2"/>
        <w:ind w:left="540"/>
        <w:rPr>
          <w:sz w:val="20"/>
          <w:szCs w:val="20"/>
        </w:rPr>
      </w:pPr>
      <w:r w:rsidRPr="00AD39F6">
        <w:rPr>
          <w:sz w:val="20"/>
          <w:szCs w:val="20"/>
        </w:rPr>
        <w:t>This account consists of:</w:t>
      </w:r>
    </w:p>
    <w:bookmarkStart w:id="4" w:name="_MON_1454762626"/>
    <w:bookmarkEnd w:id="4"/>
    <w:p w:rsidR="005F0069" w:rsidRPr="00AD39F6" w:rsidRDefault="00406434" w:rsidP="005F0069">
      <w:pPr>
        <w:numPr>
          <w:ilvl w:val="0"/>
          <w:numId w:val="24"/>
        </w:numPr>
        <w:tabs>
          <w:tab w:val="clear" w:pos="900"/>
        </w:tabs>
        <w:autoSpaceDE w:val="0"/>
        <w:autoSpaceDN w:val="0"/>
        <w:adjustRightInd w:val="0"/>
        <w:ind w:left="540" w:hanging="540"/>
        <w:jc w:val="both"/>
        <w:rPr>
          <w:b/>
          <w:bCs/>
          <w:sz w:val="20"/>
          <w:szCs w:val="20"/>
        </w:rPr>
      </w:pPr>
      <w:r w:rsidRPr="00F04644">
        <w:rPr>
          <w:sz w:val="20"/>
          <w:szCs w:val="20"/>
        </w:rPr>
        <w:object w:dxaOrig="9873" w:dyaOrig="1802">
          <v:shape id="_x0000_i1029" type="#_x0000_t75" style="width:424.5pt;height:92.25pt" o:ole="">
            <v:imagedata r:id="rId16" o:title=""/>
          </v:shape>
          <o:OLEObject Type="Embed" ProgID="Excel.Sheet.12" ShapeID="_x0000_i1029" DrawAspect="Content" ObjectID="_1457764196" r:id="rId17"/>
        </w:object>
      </w:r>
      <w:r w:rsidR="005F0069" w:rsidRPr="005F0069">
        <w:rPr>
          <w:b/>
          <w:bCs/>
          <w:sz w:val="20"/>
          <w:szCs w:val="20"/>
        </w:rPr>
        <w:t xml:space="preserve"> </w:t>
      </w:r>
      <w:r w:rsidR="005F0069">
        <w:rPr>
          <w:b/>
          <w:bCs/>
          <w:sz w:val="20"/>
          <w:szCs w:val="20"/>
        </w:rPr>
        <w:t>Revenues</w:t>
      </w:r>
    </w:p>
    <w:p w:rsidR="00DF5CF7" w:rsidRDefault="00DF5CF7" w:rsidP="00E16FA0">
      <w:pPr>
        <w:autoSpaceDE w:val="0"/>
        <w:autoSpaceDN w:val="0"/>
        <w:adjustRightInd w:val="0"/>
        <w:ind w:left="540"/>
        <w:jc w:val="both"/>
        <w:rPr>
          <w:sz w:val="20"/>
          <w:szCs w:val="20"/>
        </w:rPr>
      </w:pPr>
    </w:p>
    <w:p w:rsidR="005F0069" w:rsidRDefault="005F0069" w:rsidP="00E16FA0">
      <w:pPr>
        <w:autoSpaceDE w:val="0"/>
        <w:autoSpaceDN w:val="0"/>
        <w:adjustRightInd w:val="0"/>
        <w:ind w:left="540"/>
        <w:jc w:val="both"/>
        <w:rPr>
          <w:sz w:val="20"/>
          <w:szCs w:val="20"/>
        </w:rPr>
      </w:pPr>
      <w:r>
        <w:rPr>
          <w:sz w:val="20"/>
          <w:szCs w:val="20"/>
        </w:rPr>
        <w:t>This account consists of:</w:t>
      </w:r>
    </w:p>
    <w:bookmarkStart w:id="5" w:name="_MON_1456909036"/>
    <w:bookmarkEnd w:id="5"/>
    <w:p w:rsidR="005F0069" w:rsidRPr="009A7651" w:rsidRDefault="009A7651" w:rsidP="00E16FA0">
      <w:pPr>
        <w:autoSpaceDE w:val="0"/>
        <w:autoSpaceDN w:val="0"/>
        <w:adjustRightInd w:val="0"/>
        <w:ind w:left="540"/>
        <w:jc w:val="both"/>
        <w:rPr>
          <w:sz w:val="20"/>
          <w:szCs w:val="20"/>
          <w:vertAlign w:val="superscript"/>
        </w:rPr>
      </w:pPr>
      <w:r w:rsidRPr="00F04644">
        <w:rPr>
          <w:sz w:val="20"/>
          <w:szCs w:val="20"/>
        </w:rPr>
        <w:object w:dxaOrig="9873" w:dyaOrig="1267">
          <v:shape id="_x0000_i1030" type="#_x0000_t75" style="width:424.5pt;height:64.5pt" o:ole="">
            <v:imagedata r:id="rId18" o:title=""/>
          </v:shape>
          <o:OLEObject Type="Embed" ProgID="Excel.Sheet.12" ShapeID="_x0000_i1030" DrawAspect="Content" ObjectID="_1457764197" r:id="rId19"/>
        </w:object>
      </w:r>
      <w:r>
        <w:rPr>
          <w:sz w:val="20"/>
          <w:szCs w:val="20"/>
        </w:rPr>
        <w:t>Revenue is recognized when the risk and rewards of ownership of the goods have passed to the buyer.  This is generally when the customer has taken undisputed delivery of goods</w:t>
      </w:r>
      <w:r>
        <w:rPr>
          <w:sz w:val="20"/>
          <w:szCs w:val="20"/>
          <w:vertAlign w:val="superscript"/>
        </w:rPr>
        <w:t>.</w:t>
      </w:r>
    </w:p>
    <w:p w:rsidR="005F0069" w:rsidRDefault="005F0069" w:rsidP="00E16FA0">
      <w:pPr>
        <w:autoSpaceDE w:val="0"/>
        <w:autoSpaceDN w:val="0"/>
        <w:adjustRightInd w:val="0"/>
        <w:ind w:left="540"/>
        <w:jc w:val="both"/>
        <w:rPr>
          <w:sz w:val="20"/>
          <w:szCs w:val="20"/>
        </w:rPr>
      </w:pPr>
    </w:p>
    <w:p w:rsidR="005F0069" w:rsidRDefault="005F0069" w:rsidP="00E16FA0">
      <w:pPr>
        <w:autoSpaceDE w:val="0"/>
        <w:autoSpaceDN w:val="0"/>
        <w:adjustRightInd w:val="0"/>
        <w:ind w:left="540"/>
        <w:jc w:val="both"/>
        <w:rPr>
          <w:sz w:val="20"/>
          <w:szCs w:val="20"/>
        </w:rPr>
      </w:pPr>
    </w:p>
    <w:p w:rsidR="00386DDF" w:rsidRPr="00AD39F6" w:rsidRDefault="00386DDF" w:rsidP="00386DDF">
      <w:pPr>
        <w:numPr>
          <w:ilvl w:val="0"/>
          <w:numId w:val="24"/>
        </w:numPr>
        <w:tabs>
          <w:tab w:val="clear" w:pos="900"/>
        </w:tabs>
        <w:autoSpaceDE w:val="0"/>
        <w:autoSpaceDN w:val="0"/>
        <w:adjustRightInd w:val="0"/>
        <w:ind w:left="540" w:hanging="540"/>
        <w:jc w:val="both"/>
        <w:rPr>
          <w:b/>
          <w:bCs/>
          <w:sz w:val="20"/>
          <w:szCs w:val="20"/>
        </w:rPr>
      </w:pPr>
      <w:r w:rsidRPr="00AD39F6">
        <w:rPr>
          <w:b/>
          <w:bCs/>
          <w:sz w:val="20"/>
          <w:szCs w:val="20"/>
        </w:rPr>
        <w:t>Cos</w:t>
      </w:r>
      <w:r w:rsidR="00E16FA0">
        <w:rPr>
          <w:b/>
          <w:bCs/>
          <w:sz w:val="20"/>
          <w:szCs w:val="20"/>
        </w:rPr>
        <w:t>t of goods and services</w:t>
      </w:r>
    </w:p>
    <w:p w:rsidR="00386DDF" w:rsidRPr="00AD39F6" w:rsidRDefault="00386DDF" w:rsidP="00386DDF">
      <w:pPr>
        <w:autoSpaceDE w:val="0"/>
        <w:autoSpaceDN w:val="0"/>
        <w:adjustRightInd w:val="0"/>
        <w:jc w:val="both"/>
        <w:rPr>
          <w:bCs/>
          <w:sz w:val="20"/>
          <w:szCs w:val="20"/>
          <w:u w:val="single"/>
        </w:rPr>
      </w:pPr>
    </w:p>
    <w:p w:rsidR="00386DDF" w:rsidRPr="00AD39F6" w:rsidRDefault="00386DDF" w:rsidP="00386DDF">
      <w:pPr>
        <w:pStyle w:val="BodyText2"/>
        <w:ind w:left="540"/>
        <w:rPr>
          <w:sz w:val="20"/>
          <w:szCs w:val="20"/>
        </w:rPr>
      </w:pPr>
      <w:r w:rsidRPr="00AD39F6">
        <w:rPr>
          <w:sz w:val="20"/>
          <w:szCs w:val="20"/>
        </w:rPr>
        <w:t>This account consists of:</w:t>
      </w:r>
    </w:p>
    <w:bookmarkStart w:id="6" w:name="_MON_1454762655"/>
    <w:bookmarkEnd w:id="6"/>
    <w:p w:rsidR="00E16FA0" w:rsidRDefault="00E16FA0" w:rsidP="00E16FA0">
      <w:pPr>
        <w:autoSpaceDE w:val="0"/>
        <w:autoSpaceDN w:val="0"/>
        <w:adjustRightInd w:val="0"/>
        <w:ind w:left="540"/>
        <w:jc w:val="both"/>
        <w:rPr>
          <w:sz w:val="20"/>
          <w:szCs w:val="20"/>
        </w:rPr>
      </w:pPr>
      <w:r w:rsidRPr="00F04644">
        <w:rPr>
          <w:sz w:val="20"/>
          <w:szCs w:val="20"/>
        </w:rPr>
        <w:object w:dxaOrig="9842" w:dyaOrig="1267">
          <v:shape id="_x0000_i1031" type="#_x0000_t75" style="width:423pt;height:64.5pt" o:ole="">
            <v:imagedata r:id="rId20" o:title=""/>
          </v:shape>
          <o:OLEObject Type="Embed" ProgID="Excel.Sheet.12" ShapeID="_x0000_i1031" DrawAspect="Content" ObjectID="_1457764198" r:id="rId21"/>
        </w:object>
      </w:r>
      <w:r w:rsidR="006541B9">
        <w:rPr>
          <w:sz w:val="20"/>
          <w:szCs w:val="20"/>
        </w:rPr>
        <w:t>The Company cost of service</w:t>
      </w:r>
      <w:r>
        <w:rPr>
          <w:sz w:val="20"/>
          <w:szCs w:val="20"/>
        </w:rPr>
        <w:t>s for the years 2013 and 2012 amounted to P 23,370,112 and P 19,385,199 respectively</w:t>
      </w:r>
      <w:r w:rsidR="00A719B4">
        <w:rPr>
          <w:sz w:val="20"/>
          <w:szCs w:val="20"/>
        </w:rPr>
        <w:t>.  This account consists of</w:t>
      </w:r>
      <w:r>
        <w:rPr>
          <w:sz w:val="20"/>
          <w:szCs w:val="20"/>
        </w:rPr>
        <w:t xml:space="preserve"> purchas</w:t>
      </w:r>
      <w:r w:rsidR="00A719B4">
        <w:rPr>
          <w:sz w:val="20"/>
          <w:szCs w:val="20"/>
        </w:rPr>
        <w:t xml:space="preserve">ing </w:t>
      </w:r>
      <w:r>
        <w:rPr>
          <w:sz w:val="20"/>
          <w:szCs w:val="20"/>
        </w:rPr>
        <w:t>of goods</w:t>
      </w:r>
      <w:r w:rsidR="00A719B4">
        <w:rPr>
          <w:sz w:val="20"/>
          <w:szCs w:val="20"/>
        </w:rPr>
        <w:t>, wares and merchandize</w:t>
      </w:r>
      <w:r>
        <w:rPr>
          <w:sz w:val="20"/>
          <w:szCs w:val="20"/>
        </w:rPr>
        <w:t xml:space="preserve"> to </w:t>
      </w:r>
      <w:r w:rsidR="00A719B4">
        <w:rPr>
          <w:sz w:val="20"/>
          <w:szCs w:val="20"/>
        </w:rPr>
        <w:t>Kolin Philippines International, Inc</w:t>
      </w:r>
      <w:r>
        <w:rPr>
          <w:sz w:val="20"/>
          <w:szCs w:val="20"/>
        </w:rPr>
        <w:t>.</w:t>
      </w:r>
    </w:p>
    <w:p w:rsidR="00604CC7" w:rsidRDefault="00604CC7" w:rsidP="00E16FA0">
      <w:pPr>
        <w:autoSpaceDE w:val="0"/>
        <w:autoSpaceDN w:val="0"/>
        <w:adjustRightInd w:val="0"/>
        <w:ind w:left="540"/>
        <w:jc w:val="both"/>
        <w:rPr>
          <w:sz w:val="20"/>
          <w:szCs w:val="20"/>
        </w:rPr>
      </w:pPr>
    </w:p>
    <w:p w:rsidR="006541B9" w:rsidRDefault="006541B9" w:rsidP="009B1B59">
      <w:pPr>
        <w:ind w:left="540"/>
        <w:jc w:val="both"/>
        <w:rPr>
          <w:sz w:val="20"/>
          <w:szCs w:val="20"/>
        </w:rPr>
      </w:pPr>
    </w:p>
    <w:p w:rsidR="009A7651" w:rsidRDefault="009A7651" w:rsidP="009B1B59">
      <w:pPr>
        <w:ind w:left="540"/>
        <w:jc w:val="both"/>
        <w:rPr>
          <w:sz w:val="20"/>
          <w:szCs w:val="20"/>
        </w:rPr>
      </w:pPr>
    </w:p>
    <w:p w:rsidR="009A7651" w:rsidRDefault="009A7651" w:rsidP="009B1B59">
      <w:pPr>
        <w:ind w:left="540"/>
        <w:jc w:val="both"/>
        <w:rPr>
          <w:sz w:val="20"/>
          <w:szCs w:val="20"/>
        </w:rPr>
      </w:pPr>
    </w:p>
    <w:p w:rsidR="009D6DA2" w:rsidRDefault="009D6DA2" w:rsidP="009B1B59">
      <w:pPr>
        <w:ind w:left="540"/>
        <w:jc w:val="both"/>
        <w:rPr>
          <w:sz w:val="20"/>
          <w:szCs w:val="20"/>
        </w:rPr>
      </w:pPr>
    </w:p>
    <w:p w:rsidR="009A7651" w:rsidRDefault="009A7651" w:rsidP="009B1B59">
      <w:pPr>
        <w:ind w:left="540"/>
        <w:jc w:val="both"/>
        <w:rPr>
          <w:sz w:val="20"/>
          <w:szCs w:val="20"/>
        </w:rPr>
      </w:pPr>
    </w:p>
    <w:p w:rsidR="009A7651" w:rsidRDefault="009A7651" w:rsidP="009B1B59">
      <w:pPr>
        <w:ind w:left="540"/>
        <w:jc w:val="both"/>
        <w:rPr>
          <w:sz w:val="20"/>
          <w:szCs w:val="20"/>
        </w:rPr>
      </w:pPr>
    </w:p>
    <w:p w:rsidR="00386DDF" w:rsidRPr="00AD39F6" w:rsidRDefault="00386DDF" w:rsidP="00386DDF">
      <w:pPr>
        <w:numPr>
          <w:ilvl w:val="0"/>
          <w:numId w:val="24"/>
        </w:numPr>
        <w:tabs>
          <w:tab w:val="clear" w:pos="900"/>
        </w:tabs>
        <w:autoSpaceDE w:val="0"/>
        <w:autoSpaceDN w:val="0"/>
        <w:adjustRightInd w:val="0"/>
        <w:ind w:left="540" w:hanging="540"/>
        <w:jc w:val="both"/>
        <w:rPr>
          <w:b/>
          <w:bCs/>
          <w:sz w:val="20"/>
          <w:szCs w:val="20"/>
        </w:rPr>
      </w:pPr>
      <w:r w:rsidRPr="00AD39F6">
        <w:rPr>
          <w:b/>
          <w:bCs/>
          <w:sz w:val="20"/>
          <w:szCs w:val="20"/>
        </w:rPr>
        <w:t>Administrative expenses</w:t>
      </w:r>
    </w:p>
    <w:p w:rsidR="00386DDF" w:rsidRPr="00AD39F6" w:rsidRDefault="00386DDF" w:rsidP="00386DDF">
      <w:pPr>
        <w:autoSpaceDE w:val="0"/>
        <w:autoSpaceDN w:val="0"/>
        <w:adjustRightInd w:val="0"/>
        <w:jc w:val="both"/>
        <w:rPr>
          <w:b/>
          <w:bCs/>
          <w:sz w:val="20"/>
          <w:szCs w:val="20"/>
          <w:u w:val="single"/>
        </w:rPr>
      </w:pPr>
    </w:p>
    <w:p w:rsidR="00386DDF" w:rsidRPr="00AD39F6" w:rsidRDefault="00386DDF" w:rsidP="00386DDF">
      <w:pPr>
        <w:pStyle w:val="BodyText2"/>
        <w:ind w:left="540"/>
        <w:rPr>
          <w:sz w:val="20"/>
          <w:szCs w:val="20"/>
        </w:rPr>
      </w:pPr>
      <w:r w:rsidRPr="00AD39F6">
        <w:rPr>
          <w:sz w:val="20"/>
          <w:szCs w:val="20"/>
        </w:rPr>
        <w:t>This account consists of:</w:t>
      </w:r>
    </w:p>
    <w:bookmarkStart w:id="7" w:name="_MON_1454762690"/>
    <w:bookmarkEnd w:id="7"/>
    <w:p w:rsidR="00BE7650" w:rsidRPr="00AD39F6" w:rsidRDefault="006B0220" w:rsidP="00BE7650">
      <w:pPr>
        <w:numPr>
          <w:ilvl w:val="0"/>
          <w:numId w:val="24"/>
        </w:numPr>
        <w:tabs>
          <w:tab w:val="clear" w:pos="900"/>
        </w:tabs>
        <w:autoSpaceDE w:val="0"/>
        <w:autoSpaceDN w:val="0"/>
        <w:adjustRightInd w:val="0"/>
        <w:ind w:left="540" w:hanging="540"/>
        <w:jc w:val="both"/>
        <w:rPr>
          <w:b/>
          <w:bCs/>
          <w:sz w:val="20"/>
          <w:szCs w:val="20"/>
        </w:rPr>
      </w:pPr>
      <w:r w:rsidRPr="00F04644">
        <w:rPr>
          <w:sz w:val="20"/>
          <w:szCs w:val="20"/>
        </w:rPr>
        <w:object w:dxaOrig="9857" w:dyaOrig="4454">
          <v:shape id="_x0000_i1032" type="#_x0000_t75" style="width:423.75pt;height:228pt" o:ole="">
            <v:imagedata r:id="rId22" o:title=""/>
          </v:shape>
          <o:OLEObject Type="Embed" ProgID="Excel.Sheet.12" ShapeID="_x0000_i1032" DrawAspect="Content" ObjectID="_1457764199" r:id="rId23"/>
        </w:object>
      </w:r>
      <w:r w:rsidR="00BE7650" w:rsidRPr="00BE7650">
        <w:rPr>
          <w:b/>
          <w:bCs/>
          <w:sz w:val="20"/>
          <w:szCs w:val="20"/>
        </w:rPr>
        <w:t xml:space="preserve"> </w:t>
      </w:r>
      <w:r w:rsidR="00BE7650">
        <w:rPr>
          <w:b/>
          <w:bCs/>
          <w:sz w:val="20"/>
          <w:szCs w:val="20"/>
        </w:rPr>
        <w:t>Income tax payable</w:t>
      </w:r>
    </w:p>
    <w:p w:rsidR="007502E5" w:rsidRPr="00BE7650" w:rsidRDefault="007502E5" w:rsidP="00BE7650">
      <w:pPr>
        <w:autoSpaceDE w:val="0"/>
        <w:autoSpaceDN w:val="0"/>
        <w:adjustRightInd w:val="0"/>
        <w:jc w:val="both"/>
        <w:rPr>
          <w:b/>
          <w:bCs/>
          <w:sz w:val="20"/>
          <w:szCs w:val="20"/>
        </w:rPr>
      </w:pPr>
    </w:p>
    <w:p w:rsidR="007502E5" w:rsidRPr="00976387" w:rsidRDefault="007502E5" w:rsidP="007502E5">
      <w:pPr>
        <w:pStyle w:val="BodyText2"/>
        <w:ind w:left="540"/>
        <w:rPr>
          <w:sz w:val="20"/>
          <w:szCs w:val="20"/>
        </w:rPr>
      </w:pPr>
      <w:r w:rsidRPr="00976387">
        <w:rPr>
          <w:sz w:val="20"/>
          <w:szCs w:val="20"/>
        </w:rPr>
        <w:t>This account consists of:</w:t>
      </w:r>
    </w:p>
    <w:bookmarkStart w:id="8" w:name="_MON_1455799655"/>
    <w:bookmarkEnd w:id="8"/>
    <w:p w:rsidR="007502E5" w:rsidRDefault="00B4559C" w:rsidP="007502E5">
      <w:pPr>
        <w:ind w:left="540"/>
        <w:jc w:val="both"/>
        <w:rPr>
          <w:sz w:val="20"/>
          <w:szCs w:val="20"/>
        </w:rPr>
      </w:pPr>
      <w:r w:rsidRPr="00F04644">
        <w:rPr>
          <w:sz w:val="20"/>
          <w:szCs w:val="20"/>
        </w:rPr>
        <w:object w:dxaOrig="9792" w:dyaOrig="5650">
          <v:shape id="_x0000_i1033" type="#_x0000_t75" style="width:420.75pt;height:286.5pt" o:ole="">
            <v:imagedata r:id="rId24" o:title=""/>
          </v:shape>
          <o:OLEObject Type="Embed" ProgID="Excel.Sheet.12" ShapeID="_x0000_i1033" DrawAspect="Content" ObjectID="_1457764200" r:id="rId25"/>
        </w:object>
      </w:r>
    </w:p>
    <w:p w:rsidR="008E154F" w:rsidRPr="008E154F" w:rsidRDefault="00FB3580" w:rsidP="008E154F">
      <w:pPr>
        <w:autoSpaceDE w:val="0"/>
        <w:autoSpaceDN w:val="0"/>
        <w:adjustRightInd w:val="0"/>
        <w:jc w:val="both"/>
        <w:rPr>
          <w:b/>
          <w:bCs/>
          <w:i/>
          <w:sz w:val="20"/>
          <w:szCs w:val="20"/>
        </w:rPr>
      </w:pPr>
      <w:r>
        <w:rPr>
          <w:b/>
          <w:bCs/>
          <w:i/>
          <w:sz w:val="20"/>
          <w:szCs w:val="20"/>
        </w:rPr>
        <w:t>14</w:t>
      </w:r>
      <w:r w:rsidR="008E154F" w:rsidRPr="00500CB9">
        <w:rPr>
          <w:b/>
          <w:bCs/>
          <w:i/>
          <w:sz w:val="20"/>
          <w:szCs w:val="20"/>
        </w:rPr>
        <w:t>.</w:t>
      </w:r>
      <w:r w:rsidR="008E154F" w:rsidRPr="008E154F">
        <w:rPr>
          <w:b/>
          <w:bCs/>
          <w:sz w:val="20"/>
          <w:szCs w:val="20"/>
        </w:rPr>
        <w:t xml:space="preserve">      Supplementary information required by Revenue Regulation No. 15-2010</w:t>
      </w:r>
    </w:p>
    <w:p w:rsidR="008E154F" w:rsidRPr="00B530A2" w:rsidRDefault="008E154F" w:rsidP="008E154F">
      <w:pPr>
        <w:autoSpaceDE w:val="0"/>
        <w:autoSpaceDN w:val="0"/>
        <w:adjustRightInd w:val="0"/>
        <w:ind w:left="540"/>
        <w:jc w:val="both"/>
        <w:rPr>
          <w:b/>
          <w:bCs/>
          <w:sz w:val="20"/>
          <w:szCs w:val="20"/>
        </w:rPr>
      </w:pPr>
    </w:p>
    <w:p w:rsidR="008E154F" w:rsidRDefault="008E154F" w:rsidP="008E154F">
      <w:pPr>
        <w:ind w:left="540"/>
        <w:jc w:val="both"/>
        <w:rPr>
          <w:sz w:val="20"/>
          <w:szCs w:val="20"/>
        </w:rPr>
      </w:pPr>
      <w:r>
        <w:rPr>
          <w:sz w:val="20"/>
          <w:szCs w:val="20"/>
        </w:rPr>
        <w:t xml:space="preserve">On December 28, 2010, RR No. 15-2010 became effective and amended certain provision of RR No. 21-2002 prescribing the manner of compliance with any documentary and /or procedural requirements in connection with the preparation and submission of financial statements and income tax returns.  Section </w:t>
      </w:r>
      <w:r>
        <w:rPr>
          <w:sz w:val="20"/>
          <w:szCs w:val="20"/>
        </w:rPr>
        <w:lastRenderedPageBreak/>
        <w:t xml:space="preserve">2 of RR No. 21-2002 was further amended to include in the Notes to Financial Statements information on taxes, duties and licenses fees paid or accrued during the year in addition to what is mandated by PFRS.s </w:t>
      </w:r>
    </w:p>
    <w:p w:rsidR="008E154F" w:rsidRDefault="008E154F" w:rsidP="008E154F">
      <w:pPr>
        <w:ind w:left="540"/>
        <w:jc w:val="both"/>
        <w:rPr>
          <w:sz w:val="20"/>
          <w:szCs w:val="20"/>
        </w:rPr>
      </w:pPr>
    </w:p>
    <w:p w:rsidR="008E154F" w:rsidRDefault="008E154F" w:rsidP="008E154F">
      <w:pPr>
        <w:ind w:left="540"/>
        <w:jc w:val="both"/>
        <w:rPr>
          <w:sz w:val="20"/>
          <w:szCs w:val="20"/>
        </w:rPr>
      </w:pPr>
      <w:r>
        <w:rPr>
          <w:sz w:val="20"/>
          <w:szCs w:val="20"/>
        </w:rPr>
        <w:t>Below is the additional information required by RR. No. 15-2010.  This information is presented for purposes of filing with the BIR and is not a required part of the basic financial statements.</w:t>
      </w:r>
    </w:p>
    <w:p w:rsidR="008E154F" w:rsidRDefault="008E154F" w:rsidP="008E154F">
      <w:pPr>
        <w:ind w:left="540"/>
        <w:jc w:val="both"/>
        <w:rPr>
          <w:sz w:val="20"/>
          <w:szCs w:val="20"/>
        </w:rPr>
      </w:pPr>
    </w:p>
    <w:p w:rsidR="008E154F" w:rsidRPr="00596700" w:rsidRDefault="0009364A" w:rsidP="008E154F">
      <w:pPr>
        <w:tabs>
          <w:tab w:val="left" w:pos="3690"/>
        </w:tabs>
        <w:ind w:left="540"/>
        <w:jc w:val="both"/>
        <w:rPr>
          <w:b/>
          <w:sz w:val="20"/>
          <w:szCs w:val="20"/>
        </w:rPr>
      </w:pPr>
      <w:r>
        <w:rPr>
          <w:b/>
          <w:sz w:val="20"/>
          <w:szCs w:val="20"/>
        </w:rPr>
        <w:t>A</w:t>
      </w:r>
      <w:r w:rsidR="008E154F" w:rsidRPr="00596700">
        <w:rPr>
          <w:b/>
          <w:sz w:val="20"/>
          <w:szCs w:val="20"/>
        </w:rPr>
        <w:t>. Output Value-Added Tax (VAT)</w:t>
      </w:r>
    </w:p>
    <w:p w:rsidR="008E154F" w:rsidRDefault="008E154F" w:rsidP="008E154F">
      <w:pPr>
        <w:tabs>
          <w:tab w:val="left" w:pos="3690"/>
        </w:tabs>
        <w:ind w:left="540"/>
        <w:jc w:val="both"/>
        <w:rPr>
          <w:sz w:val="20"/>
          <w:szCs w:val="20"/>
        </w:rPr>
      </w:pPr>
    </w:p>
    <w:p w:rsidR="008E154F" w:rsidRPr="00214C10" w:rsidRDefault="008E154F" w:rsidP="008E154F">
      <w:pPr>
        <w:tabs>
          <w:tab w:val="left" w:pos="3690"/>
        </w:tabs>
        <w:ind w:left="540"/>
        <w:jc w:val="both"/>
        <w:rPr>
          <w:sz w:val="20"/>
          <w:szCs w:val="20"/>
        </w:rPr>
      </w:pPr>
      <w:r>
        <w:rPr>
          <w:sz w:val="20"/>
          <w:szCs w:val="20"/>
        </w:rPr>
        <w:t>Output tax declared for the ye</w:t>
      </w:r>
      <w:r w:rsidR="00BF413D">
        <w:rPr>
          <w:sz w:val="20"/>
          <w:szCs w:val="20"/>
        </w:rPr>
        <w:t>ar ended December 31, 2012</w:t>
      </w:r>
      <w:r>
        <w:rPr>
          <w:sz w:val="20"/>
          <w:szCs w:val="20"/>
        </w:rPr>
        <w:t xml:space="preserve"> and the revenues upon which the same was based consist of:</w:t>
      </w:r>
    </w:p>
    <w:bookmarkStart w:id="9" w:name="_MON_1454762952"/>
    <w:bookmarkEnd w:id="9"/>
    <w:p w:rsidR="0009364A" w:rsidRDefault="009238C6" w:rsidP="008E154F">
      <w:pPr>
        <w:autoSpaceDE w:val="0"/>
        <w:autoSpaceDN w:val="0"/>
        <w:adjustRightInd w:val="0"/>
        <w:ind w:left="540"/>
        <w:jc w:val="both"/>
        <w:rPr>
          <w:sz w:val="20"/>
          <w:szCs w:val="20"/>
        </w:rPr>
      </w:pPr>
      <w:r w:rsidRPr="00F04644">
        <w:rPr>
          <w:sz w:val="20"/>
          <w:szCs w:val="20"/>
        </w:rPr>
        <w:object w:dxaOrig="9935" w:dyaOrig="1773">
          <v:shape id="_x0000_i1034" type="#_x0000_t75" style="width:426.75pt;height:91.5pt" o:ole="">
            <v:imagedata r:id="rId26" o:title=""/>
          </v:shape>
          <o:OLEObject Type="Embed" ProgID="Excel.Sheet.12" ShapeID="_x0000_i1034" DrawAspect="Content" ObjectID="_1457764201" r:id="rId27"/>
        </w:object>
      </w:r>
      <w:r w:rsidR="0009364A">
        <w:rPr>
          <w:sz w:val="20"/>
          <w:szCs w:val="20"/>
        </w:rPr>
        <w:t>Pursuant to Section 106-A, Vat on Sales of Goods or Properties, and Section 109, Vat Exempt Transactions, of the National Internal Revenue Code of 1997, the Company has sales –exempt amounting to P 166,573 for the taxable year.</w:t>
      </w:r>
    </w:p>
    <w:p w:rsidR="0009364A" w:rsidRDefault="0009364A" w:rsidP="008E154F">
      <w:pPr>
        <w:autoSpaceDE w:val="0"/>
        <w:autoSpaceDN w:val="0"/>
        <w:adjustRightInd w:val="0"/>
        <w:ind w:left="540"/>
        <w:jc w:val="both"/>
        <w:rPr>
          <w:sz w:val="20"/>
          <w:szCs w:val="20"/>
        </w:rPr>
      </w:pPr>
    </w:p>
    <w:p w:rsidR="008E154F" w:rsidRDefault="0009364A" w:rsidP="008E154F">
      <w:pPr>
        <w:autoSpaceDE w:val="0"/>
        <w:autoSpaceDN w:val="0"/>
        <w:adjustRightInd w:val="0"/>
        <w:ind w:left="540"/>
        <w:jc w:val="both"/>
        <w:rPr>
          <w:sz w:val="20"/>
          <w:szCs w:val="20"/>
        </w:rPr>
      </w:pPr>
      <w:r>
        <w:rPr>
          <w:b/>
          <w:sz w:val="20"/>
          <w:szCs w:val="20"/>
        </w:rPr>
        <w:t>B</w:t>
      </w:r>
      <w:r w:rsidR="008E154F" w:rsidRPr="00596700">
        <w:rPr>
          <w:b/>
          <w:sz w:val="20"/>
          <w:szCs w:val="20"/>
        </w:rPr>
        <w:t xml:space="preserve">. </w:t>
      </w:r>
      <w:r>
        <w:rPr>
          <w:b/>
          <w:sz w:val="20"/>
          <w:szCs w:val="20"/>
        </w:rPr>
        <w:t>Input Taxes</w:t>
      </w:r>
    </w:p>
    <w:p w:rsidR="008E154F" w:rsidRDefault="008E154F" w:rsidP="008E154F">
      <w:pPr>
        <w:tabs>
          <w:tab w:val="left" w:pos="3690"/>
        </w:tabs>
        <w:ind w:left="540"/>
        <w:jc w:val="both"/>
        <w:rPr>
          <w:sz w:val="20"/>
          <w:szCs w:val="20"/>
        </w:rPr>
      </w:pPr>
      <w:r>
        <w:rPr>
          <w:sz w:val="20"/>
          <w:szCs w:val="20"/>
        </w:rPr>
        <w:tab/>
      </w:r>
    </w:p>
    <w:bookmarkStart w:id="10" w:name="_MON_1454762989"/>
    <w:bookmarkEnd w:id="10"/>
    <w:p w:rsidR="008E154F" w:rsidRDefault="009238C6" w:rsidP="008E154F">
      <w:pPr>
        <w:pStyle w:val="BodyText2"/>
        <w:ind w:left="540"/>
        <w:rPr>
          <w:b/>
          <w:sz w:val="20"/>
          <w:szCs w:val="20"/>
        </w:rPr>
      </w:pPr>
      <w:r w:rsidRPr="00F04644">
        <w:rPr>
          <w:sz w:val="20"/>
          <w:szCs w:val="20"/>
        </w:rPr>
        <w:object w:dxaOrig="9935" w:dyaOrig="1586">
          <v:shape id="_x0000_i1035" type="#_x0000_t75" style="width:426.75pt;height:80.25pt" o:ole="">
            <v:imagedata r:id="rId28" o:title=""/>
          </v:shape>
          <o:OLEObject Type="Embed" ProgID="Excel.Sheet.12" ShapeID="_x0000_i1035" DrawAspect="Content" ObjectID="_1457764202" r:id="rId29"/>
        </w:object>
      </w:r>
      <w:r w:rsidR="0009364A">
        <w:rPr>
          <w:b/>
          <w:sz w:val="20"/>
          <w:szCs w:val="20"/>
        </w:rPr>
        <w:t>C. Taxes and Licenses</w:t>
      </w:r>
    </w:p>
    <w:p w:rsidR="0009364A" w:rsidRDefault="0009364A" w:rsidP="008E154F">
      <w:pPr>
        <w:pStyle w:val="BodyText2"/>
        <w:ind w:left="540"/>
        <w:rPr>
          <w:b/>
          <w:sz w:val="20"/>
          <w:szCs w:val="20"/>
        </w:rPr>
      </w:pPr>
    </w:p>
    <w:p w:rsidR="0009364A" w:rsidRDefault="00F76014" w:rsidP="008E154F">
      <w:pPr>
        <w:pStyle w:val="BodyText2"/>
        <w:ind w:left="540"/>
        <w:rPr>
          <w:sz w:val="20"/>
          <w:szCs w:val="20"/>
        </w:rPr>
      </w:pPr>
      <w:r>
        <w:rPr>
          <w:sz w:val="20"/>
          <w:szCs w:val="20"/>
        </w:rPr>
        <w:t>The Company taxes and licenses paid for the year is amounted to Four Hundred Twelve Thousand Four Hundred Eighty Pesos (P 412,480).</w:t>
      </w:r>
    </w:p>
    <w:p w:rsidR="0009364A" w:rsidRDefault="0009364A" w:rsidP="008E154F">
      <w:pPr>
        <w:pStyle w:val="BodyText2"/>
        <w:ind w:left="540"/>
        <w:rPr>
          <w:sz w:val="20"/>
          <w:szCs w:val="20"/>
        </w:rPr>
      </w:pPr>
    </w:p>
    <w:p w:rsidR="0009364A" w:rsidRPr="0009364A" w:rsidRDefault="0009364A" w:rsidP="008E154F">
      <w:pPr>
        <w:pStyle w:val="BodyText2"/>
        <w:ind w:left="540"/>
        <w:rPr>
          <w:b/>
          <w:sz w:val="20"/>
          <w:szCs w:val="20"/>
        </w:rPr>
      </w:pPr>
      <w:r w:rsidRPr="0009364A">
        <w:rPr>
          <w:b/>
          <w:sz w:val="20"/>
          <w:szCs w:val="20"/>
        </w:rPr>
        <w:t>D. Withholding Taxes</w:t>
      </w:r>
    </w:p>
    <w:p w:rsidR="0009364A" w:rsidRDefault="0009364A" w:rsidP="008E154F">
      <w:pPr>
        <w:pStyle w:val="BodyText2"/>
        <w:ind w:left="540"/>
        <w:rPr>
          <w:sz w:val="20"/>
          <w:szCs w:val="20"/>
        </w:rPr>
      </w:pPr>
    </w:p>
    <w:p w:rsidR="0009364A" w:rsidRDefault="0009364A" w:rsidP="008E154F">
      <w:pPr>
        <w:pStyle w:val="BodyText2"/>
        <w:ind w:left="540"/>
        <w:rPr>
          <w:b/>
          <w:sz w:val="20"/>
          <w:szCs w:val="20"/>
        </w:rPr>
      </w:pPr>
      <w:r>
        <w:rPr>
          <w:sz w:val="20"/>
          <w:szCs w:val="20"/>
        </w:rPr>
        <w:t>The Com</w:t>
      </w:r>
      <w:r w:rsidR="002D60AF">
        <w:rPr>
          <w:sz w:val="20"/>
          <w:szCs w:val="20"/>
        </w:rPr>
        <w:t>pany withholding tax –compensation deduct and remitted for the year 2013 amounted to P</w:t>
      </w:r>
      <w:r w:rsidR="00F76014">
        <w:rPr>
          <w:sz w:val="20"/>
          <w:szCs w:val="20"/>
        </w:rPr>
        <w:t xml:space="preserve"> 21,242   </w:t>
      </w:r>
      <w:proofErr w:type="gramStart"/>
      <w:r w:rsidR="00F76014">
        <w:rPr>
          <w:sz w:val="20"/>
          <w:szCs w:val="20"/>
        </w:rPr>
        <w:t xml:space="preserve">and </w:t>
      </w:r>
      <w:r w:rsidR="002D60AF">
        <w:rPr>
          <w:sz w:val="20"/>
          <w:szCs w:val="20"/>
        </w:rPr>
        <w:t xml:space="preserve"> withholding</w:t>
      </w:r>
      <w:proofErr w:type="gramEnd"/>
      <w:r w:rsidR="002D60AF">
        <w:rPr>
          <w:sz w:val="20"/>
          <w:szCs w:val="20"/>
        </w:rPr>
        <w:t xml:space="preserve"> tax – expanded deducted</w:t>
      </w:r>
      <w:r w:rsidR="00F76014">
        <w:rPr>
          <w:sz w:val="20"/>
          <w:szCs w:val="20"/>
        </w:rPr>
        <w:t>/remitted</w:t>
      </w:r>
      <w:r w:rsidR="002D60AF">
        <w:rPr>
          <w:sz w:val="20"/>
          <w:szCs w:val="20"/>
        </w:rPr>
        <w:t xml:space="preserve"> for the year 2013</w:t>
      </w:r>
      <w:r w:rsidR="00F76014">
        <w:rPr>
          <w:sz w:val="20"/>
          <w:szCs w:val="20"/>
        </w:rPr>
        <w:t xml:space="preserve"> amounted to P 237,152.02.</w:t>
      </w:r>
    </w:p>
    <w:p w:rsidR="0009364A" w:rsidRDefault="0009364A" w:rsidP="008E154F">
      <w:pPr>
        <w:pStyle w:val="BodyText2"/>
        <w:ind w:left="540"/>
        <w:rPr>
          <w:b/>
          <w:sz w:val="20"/>
          <w:szCs w:val="20"/>
        </w:rPr>
      </w:pPr>
    </w:p>
    <w:p w:rsidR="0009364A" w:rsidRDefault="0009364A" w:rsidP="008E154F">
      <w:pPr>
        <w:pStyle w:val="BodyText2"/>
        <w:ind w:left="540"/>
        <w:rPr>
          <w:b/>
          <w:sz w:val="20"/>
          <w:szCs w:val="20"/>
        </w:rPr>
      </w:pPr>
      <w:r>
        <w:rPr>
          <w:b/>
          <w:sz w:val="20"/>
          <w:szCs w:val="20"/>
        </w:rPr>
        <w:t>E.  De</w:t>
      </w:r>
      <w:r w:rsidR="00453CD7">
        <w:rPr>
          <w:b/>
          <w:sz w:val="20"/>
          <w:szCs w:val="20"/>
        </w:rPr>
        <w:t>ficiency Tax Assessment and Tax cases</w:t>
      </w:r>
    </w:p>
    <w:p w:rsidR="00453CD7" w:rsidRDefault="00453CD7" w:rsidP="008E154F">
      <w:pPr>
        <w:pStyle w:val="BodyText2"/>
        <w:ind w:left="540"/>
        <w:rPr>
          <w:b/>
          <w:sz w:val="20"/>
          <w:szCs w:val="20"/>
        </w:rPr>
      </w:pPr>
      <w:r>
        <w:rPr>
          <w:b/>
          <w:sz w:val="20"/>
          <w:szCs w:val="20"/>
        </w:rPr>
        <w:t xml:space="preserve"> </w:t>
      </w:r>
    </w:p>
    <w:p w:rsidR="00453CD7" w:rsidRPr="00453CD7" w:rsidRDefault="00453CD7" w:rsidP="008E154F">
      <w:pPr>
        <w:pStyle w:val="BodyText2"/>
        <w:ind w:left="540"/>
        <w:rPr>
          <w:sz w:val="20"/>
          <w:szCs w:val="20"/>
        </w:rPr>
      </w:pPr>
      <w:r w:rsidRPr="00453CD7">
        <w:rPr>
          <w:sz w:val="20"/>
          <w:szCs w:val="20"/>
        </w:rPr>
        <w:t>The Company does not have final deficiency tax assessment with the BIR or tax cases outstanding or pending in courts or bodies outside the BIR in any open years</w:t>
      </w:r>
    </w:p>
    <w:p w:rsidR="00453CD7" w:rsidRDefault="00453CD7" w:rsidP="008E154F">
      <w:pPr>
        <w:pStyle w:val="BodyText2"/>
        <w:ind w:left="540"/>
        <w:rPr>
          <w:b/>
          <w:sz w:val="20"/>
          <w:szCs w:val="20"/>
        </w:rPr>
      </w:pPr>
    </w:p>
    <w:p w:rsidR="00453CD7" w:rsidRDefault="00453CD7" w:rsidP="00453CD7">
      <w:pPr>
        <w:pStyle w:val="BodyText2"/>
        <w:ind w:firstLine="540"/>
        <w:rPr>
          <w:b/>
          <w:sz w:val="20"/>
          <w:szCs w:val="20"/>
        </w:rPr>
      </w:pPr>
      <w:r>
        <w:rPr>
          <w:b/>
          <w:sz w:val="20"/>
          <w:szCs w:val="20"/>
        </w:rPr>
        <w:t>II. Requirements under Revenue Regulation (RR) 19-2011</w:t>
      </w:r>
    </w:p>
    <w:p w:rsidR="00453CD7" w:rsidRDefault="00453CD7" w:rsidP="00453CD7">
      <w:pPr>
        <w:pStyle w:val="BodyText2"/>
        <w:ind w:firstLine="540"/>
        <w:rPr>
          <w:b/>
          <w:sz w:val="20"/>
          <w:szCs w:val="20"/>
        </w:rPr>
      </w:pPr>
    </w:p>
    <w:p w:rsidR="00453CD7" w:rsidRPr="00453CD7" w:rsidRDefault="00453CD7" w:rsidP="00453CD7">
      <w:pPr>
        <w:pStyle w:val="BodyText2"/>
        <w:ind w:left="540"/>
        <w:rPr>
          <w:sz w:val="20"/>
          <w:szCs w:val="20"/>
        </w:rPr>
      </w:pPr>
      <w:r w:rsidRPr="00453CD7">
        <w:rPr>
          <w:sz w:val="20"/>
          <w:szCs w:val="20"/>
        </w:rPr>
        <w:t>RR 19-2011 requires schedules of taxable revenues and other non-operating income, costs of sales and services, itemized deductions and other significant tax information, to be disclosed in the notes to financial instruments</w:t>
      </w:r>
    </w:p>
    <w:p w:rsidR="00453CD7" w:rsidRDefault="00453CD7" w:rsidP="00453CD7">
      <w:pPr>
        <w:pStyle w:val="BodyText2"/>
        <w:rPr>
          <w:sz w:val="20"/>
          <w:szCs w:val="20"/>
        </w:rPr>
      </w:pPr>
    </w:p>
    <w:p w:rsidR="00453CD7" w:rsidRPr="00453CD7" w:rsidRDefault="00453CD7" w:rsidP="008A3958">
      <w:pPr>
        <w:pStyle w:val="BodyText2"/>
        <w:ind w:left="540"/>
        <w:rPr>
          <w:sz w:val="20"/>
          <w:szCs w:val="20"/>
        </w:rPr>
      </w:pPr>
      <w:r>
        <w:rPr>
          <w:sz w:val="20"/>
          <w:szCs w:val="20"/>
        </w:rPr>
        <w:t xml:space="preserve">The amounts of taxable revenues and income, and deductible costs and expenses presented below are based on relevant tax regulations issued by the BIR hence, </w:t>
      </w:r>
      <w:r w:rsidR="008A3958">
        <w:rPr>
          <w:sz w:val="20"/>
          <w:szCs w:val="20"/>
        </w:rPr>
        <w:t>may not be the same, as the amounts reflected in the 2013 statement of income.</w:t>
      </w:r>
    </w:p>
    <w:p w:rsidR="00453CD7" w:rsidRDefault="00453CD7" w:rsidP="00453CD7">
      <w:pPr>
        <w:pStyle w:val="BodyText2"/>
        <w:rPr>
          <w:b/>
          <w:sz w:val="20"/>
          <w:szCs w:val="20"/>
        </w:rPr>
      </w:pPr>
      <w:r>
        <w:rPr>
          <w:b/>
          <w:sz w:val="20"/>
          <w:szCs w:val="20"/>
        </w:rPr>
        <w:tab/>
      </w:r>
    </w:p>
    <w:p w:rsidR="008A3958" w:rsidRDefault="008A3958" w:rsidP="008A3958">
      <w:pPr>
        <w:pStyle w:val="BodyText2"/>
        <w:numPr>
          <w:ilvl w:val="0"/>
          <w:numId w:val="33"/>
        </w:numPr>
        <w:rPr>
          <w:b/>
          <w:sz w:val="20"/>
          <w:szCs w:val="20"/>
        </w:rPr>
      </w:pPr>
      <w:r>
        <w:rPr>
          <w:b/>
          <w:sz w:val="20"/>
          <w:szCs w:val="20"/>
        </w:rPr>
        <w:lastRenderedPageBreak/>
        <w:t>Taxable Revenues</w:t>
      </w:r>
    </w:p>
    <w:p w:rsidR="008A3958" w:rsidRDefault="008A3958" w:rsidP="008A3958">
      <w:pPr>
        <w:pStyle w:val="BodyText2"/>
        <w:rPr>
          <w:b/>
          <w:sz w:val="20"/>
          <w:szCs w:val="20"/>
        </w:rPr>
      </w:pPr>
    </w:p>
    <w:p w:rsidR="008A3958" w:rsidRDefault="008A3958" w:rsidP="008A3958">
      <w:pPr>
        <w:pStyle w:val="BodyText2"/>
        <w:ind w:left="720"/>
        <w:rPr>
          <w:sz w:val="20"/>
          <w:szCs w:val="20"/>
        </w:rPr>
      </w:pPr>
      <w:r w:rsidRPr="008A3958">
        <w:rPr>
          <w:sz w:val="20"/>
          <w:szCs w:val="20"/>
        </w:rPr>
        <w:t>The Company’s taxable revenues subject to regular tax rate for the year ended December 31, 2013 amounted to (P25</w:t>
      </w:r>
      <w:proofErr w:type="gramStart"/>
      <w:r w:rsidRPr="008A3958">
        <w:rPr>
          <w:sz w:val="20"/>
          <w:szCs w:val="20"/>
        </w:rPr>
        <w:t>,343,801</w:t>
      </w:r>
      <w:proofErr w:type="gramEnd"/>
      <w:r w:rsidRPr="008A3958">
        <w:rPr>
          <w:sz w:val="20"/>
          <w:szCs w:val="20"/>
        </w:rPr>
        <w:t>)</w:t>
      </w:r>
      <w:r>
        <w:rPr>
          <w:sz w:val="20"/>
          <w:szCs w:val="20"/>
        </w:rPr>
        <w:t>.</w:t>
      </w:r>
    </w:p>
    <w:p w:rsidR="00C91C4C" w:rsidRDefault="00C91C4C" w:rsidP="008A3958">
      <w:pPr>
        <w:pStyle w:val="BodyText2"/>
        <w:ind w:left="720"/>
        <w:rPr>
          <w:sz w:val="20"/>
          <w:szCs w:val="20"/>
        </w:rPr>
      </w:pPr>
    </w:p>
    <w:p w:rsidR="00C91C4C" w:rsidRDefault="00C91C4C" w:rsidP="00C91C4C">
      <w:pPr>
        <w:pStyle w:val="BodyText2"/>
        <w:numPr>
          <w:ilvl w:val="0"/>
          <w:numId w:val="33"/>
        </w:numPr>
        <w:rPr>
          <w:b/>
          <w:sz w:val="20"/>
          <w:szCs w:val="20"/>
        </w:rPr>
      </w:pPr>
      <w:r w:rsidRPr="00C91C4C">
        <w:rPr>
          <w:b/>
          <w:sz w:val="20"/>
          <w:szCs w:val="20"/>
        </w:rPr>
        <w:t>Deductible Cost of Services</w:t>
      </w:r>
    </w:p>
    <w:p w:rsidR="006541B9" w:rsidRDefault="006541B9" w:rsidP="006541B9">
      <w:pPr>
        <w:pStyle w:val="BodyText2"/>
        <w:rPr>
          <w:b/>
          <w:sz w:val="20"/>
          <w:szCs w:val="20"/>
        </w:rPr>
      </w:pPr>
    </w:p>
    <w:p w:rsidR="006541B9" w:rsidRPr="006541B9" w:rsidRDefault="006541B9" w:rsidP="006541B9">
      <w:pPr>
        <w:pStyle w:val="BodyText2"/>
        <w:ind w:left="720"/>
        <w:rPr>
          <w:sz w:val="20"/>
          <w:szCs w:val="20"/>
        </w:rPr>
      </w:pPr>
      <w:r w:rsidRPr="006541B9">
        <w:rPr>
          <w:sz w:val="20"/>
          <w:szCs w:val="20"/>
        </w:rPr>
        <w:t>The Company cost of services amounted to P 23,370,112 and P 19,385,199 for the years 2013 and 2012 respectively</w:t>
      </w:r>
      <w:r w:rsidR="00A719B4">
        <w:rPr>
          <w:sz w:val="20"/>
          <w:szCs w:val="20"/>
        </w:rPr>
        <w:t xml:space="preserve">.  This account consists of </w:t>
      </w:r>
      <w:r w:rsidRPr="006541B9">
        <w:rPr>
          <w:sz w:val="20"/>
          <w:szCs w:val="20"/>
        </w:rPr>
        <w:t>purchas</w:t>
      </w:r>
      <w:r w:rsidR="00A719B4">
        <w:rPr>
          <w:sz w:val="20"/>
          <w:szCs w:val="20"/>
        </w:rPr>
        <w:t>ing</w:t>
      </w:r>
      <w:r w:rsidRPr="006541B9">
        <w:rPr>
          <w:sz w:val="20"/>
          <w:szCs w:val="20"/>
        </w:rPr>
        <w:t xml:space="preserve"> of goods</w:t>
      </w:r>
      <w:r w:rsidR="00A719B4">
        <w:rPr>
          <w:sz w:val="20"/>
          <w:szCs w:val="20"/>
        </w:rPr>
        <w:t>, wares</w:t>
      </w:r>
      <w:r w:rsidR="00604CC7">
        <w:rPr>
          <w:sz w:val="20"/>
          <w:szCs w:val="20"/>
        </w:rPr>
        <w:t xml:space="preserve">, </w:t>
      </w:r>
      <w:proofErr w:type="spellStart"/>
      <w:proofErr w:type="gramStart"/>
      <w:r w:rsidR="00604CC7">
        <w:rPr>
          <w:sz w:val="20"/>
          <w:szCs w:val="20"/>
        </w:rPr>
        <w:t>cctv</w:t>
      </w:r>
      <w:proofErr w:type="spellEnd"/>
      <w:proofErr w:type="gramEnd"/>
      <w:r w:rsidR="00604CC7">
        <w:rPr>
          <w:sz w:val="20"/>
          <w:szCs w:val="20"/>
        </w:rPr>
        <w:t xml:space="preserve"> cameras</w:t>
      </w:r>
      <w:r w:rsidR="00A719B4">
        <w:rPr>
          <w:sz w:val="20"/>
          <w:szCs w:val="20"/>
        </w:rPr>
        <w:t xml:space="preserve"> and merchandize</w:t>
      </w:r>
      <w:r w:rsidRPr="006541B9">
        <w:rPr>
          <w:sz w:val="20"/>
          <w:szCs w:val="20"/>
        </w:rPr>
        <w:t xml:space="preserve"> to </w:t>
      </w:r>
      <w:proofErr w:type="spellStart"/>
      <w:r w:rsidR="00A719B4">
        <w:rPr>
          <w:sz w:val="20"/>
          <w:szCs w:val="20"/>
        </w:rPr>
        <w:t>Kolin</w:t>
      </w:r>
      <w:proofErr w:type="spellEnd"/>
      <w:r w:rsidR="00A719B4">
        <w:rPr>
          <w:sz w:val="20"/>
          <w:szCs w:val="20"/>
        </w:rPr>
        <w:t xml:space="preserve"> Philippines International, Inc</w:t>
      </w:r>
      <w:r w:rsidR="00604CC7">
        <w:rPr>
          <w:sz w:val="20"/>
          <w:szCs w:val="20"/>
        </w:rPr>
        <w:t xml:space="preserve"> and </w:t>
      </w:r>
      <w:proofErr w:type="spellStart"/>
      <w:r w:rsidR="00604CC7">
        <w:rPr>
          <w:sz w:val="20"/>
          <w:szCs w:val="20"/>
        </w:rPr>
        <w:t>Laview</w:t>
      </w:r>
      <w:proofErr w:type="spellEnd"/>
      <w:r w:rsidR="00604CC7">
        <w:rPr>
          <w:sz w:val="20"/>
          <w:szCs w:val="20"/>
        </w:rPr>
        <w:t xml:space="preserve"> Security </w:t>
      </w:r>
      <w:proofErr w:type="spellStart"/>
      <w:r w:rsidR="00604CC7">
        <w:rPr>
          <w:sz w:val="20"/>
          <w:szCs w:val="20"/>
        </w:rPr>
        <w:t>Phils</w:t>
      </w:r>
      <w:proofErr w:type="spellEnd"/>
      <w:r w:rsidR="00604CC7">
        <w:rPr>
          <w:sz w:val="20"/>
          <w:szCs w:val="20"/>
        </w:rPr>
        <w:t>, Inc.</w:t>
      </w:r>
    </w:p>
    <w:p w:rsidR="00453CD7" w:rsidRDefault="00453CD7" w:rsidP="008E154F">
      <w:pPr>
        <w:pStyle w:val="BodyText2"/>
        <w:ind w:left="540"/>
        <w:rPr>
          <w:b/>
          <w:sz w:val="20"/>
          <w:szCs w:val="20"/>
        </w:rPr>
      </w:pPr>
    </w:p>
    <w:p w:rsidR="00453CD7" w:rsidRPr="00E16FA0" w:rsidRDefault="00C91C4C" w:rsidP="006541B9">
      <w:pPr>
        <w:pStyle w:val="BodyText2"/>
        <w:numPr>
          <w:ilvl w:val="0"/>
          <w:numId w:val="33"/>
        </w:numPr>
        <w:rPr>
          <w:b/>
          <w:sz w:val="20"/>
          <w:szCs w:val="20"/>
        </w:rPr>
      </w:pPr>
      <w:r>
        <w:rPr>
          <w:sz w:val="20"/>
          <w:szCs w:val="20"/>
        </w:rPr>
        <w:t xml:space="preserve"> </w:t>
      </w:r>
      <w:r w:rsidRPr="00E16FA0">
        <w:rPr>
          <w:b/>
          <w:sz w:val="20"/>
          <w:szCs w:val="20"/>
        </w:rPr>
        <w:t>Taxable Non-operating and Other Income</w:t>
      </w:r>
    </w:p>
    <w:p w:rsidR="00C91C4C" w:rsidRDefault="00C91C4C" w:rsidP="008E154F">
      <w:pPr>
        <w:pStyle w:val="BodyText2"/>
        <w:ind w:left="540"/>
        <w:rPr>
          <w:sz w:val="20"/>
          <w:szCs w:val="20"/>
        </w:rPr>
      </w:pPr>
    </w:p>
    <w:p w:rsidR="00C91C4C" w:rsidRDefault="00C91C4C" w:rsidP="00E16FA0">
      <w:pPr>
        <w:pStyle w:val="BodyText2"/>
        <w:ind w:left="720"/>
        <w:rPr>
          <w:sz w:val="20"/>
          <w:szCs w:val="20"/>
        </w:rPr>
      </w:pPr>
      <w:r>
        <w:rPr>
          <w:sz w:val="20"/>
          <w:szCs w:val="20"/>
        </w:rPr>
        <w:t>The Company has no taxable non-operating and other income in 2013 which are subject to regular tax rate during the year.</w:t>
      </w:r>
    </w:p>
    <w:p w:rsidR="00C91C4C" w:rsidRDefault="00C91C4C" w:rsidP="008E154F">
      <w:pPr>
        <w:pStyle w:val="BodyText2"/>
        <w:ind w:left="540"/>
        <w:rPr>
          <w:sz w:val="20"/>
          <w:szCs w:val="20"/>
        </w:rPr>
      </w:pPr>
    </w:p>
    <w:p w:rsidR="00C91C4C" w:rsidRPr="00604CC7" w:rsidRDefault="00C91C4C" w:rsidP="00C91C4C">
      <w:pPr>
        <w:pStyle w:val="BodyText2"/>
        <w:numPr>
          <w:ilvl w:val="0"/>
          <w:numId w:val="33"/>
        </w:numPr>
        <w:rPr>
          <w:b/>
          <w:sz w:val="20"/>
          <w:szCs w:val="20"/>
        </w:rPr>
      </w:pPr>
      <w:r w:rsidRPr="00604CC7">
        <w:rPr>
          <w:b/>
          <w:sz w:val="20"/>
          <w:szCs w:val="20"/>
        </w:rPr>
        <w:t>Itemized Deductions</w:t>
      </w:r>
    </w:p>
    <w:p w:rsidR="00E16FA0" w:rsidRPr="00C91C4C" w:rsidRDefault="00E16FA0" w:rsidP="00E16FA0">
      <w:pPr>
        <w:pStyle w:val="BodyText2"/>
        <w:ind w:left="720"/>
        <w:rPr>
          <w:b/>
          <w:sz w:val="20"/>
          <w:szCs w:val="20"/>
        </w:rPr>
      </w:pPr>
    </w:p>
    <w:p w:rsidR="00C91C4C" w:rsidRDefault="00C91C4C" w:rsidP="00C91C4C">
      <w:pPr>
        <w:pStyle w:val="BodyText2"/>
        <w:ind w:left="720"/>
        <w:rPr>
          <w:sz w:val="20"/>
          <w:szCs w:val="20"/>
        </w:rPr>
      </w:pPr>
      <w:r>
        <w:rPr>
          <w:sz w:val="20"/>
          <w:szCs w:val="20"/>
        </w:rPr>
        <w:t xml:space="preserve">The amounts of itemized deductions for </w:t>
      </w:r>
      <w:r w:rsidR="00E16FA0">
        <w:rPr>
          <w:sz w:val="20"/>
          <w:szCs w:val="20"/>
        </w:rPr>
        <w:t>the year ended December 31, 2013</w:t>
      </w:r>
      <w:r>
        <w:rPr>
          <w:sz w:val="20"/>
          <w:szCs w:val="20"/>
        </w:rPr>
        <w:t xml:space="preserve"> are as follows;</w:t>
      </w:r>
    </w:p>
    <w:bookmarkStart w:id="11" w:name="_MON_1455540423"/>
    <w:bookmarkEnd w:id="11"/>
    <w:p w:rsidR="00E16FA0" w:rsidRDefault="006B0220" w:rsidP="00C91C4C">
      <w:pPr>
        <w:pStyle w:val="BodyText2"/>
        <w:ind w:left="720"/>
        <w:rPr>
          <w:sz w:val="20"/>
          <w:szCs w:val="20"/>
        </w:rPr>
      </w:pPr>
      <w:r w:rsidRPr="00F04644">
        <w:rPr>
          <w:sz w:val="20"/>
          <w:szCs w:val="20"/>
        </w:rPr>
        <w:object w:dxaOrig="9904" w:dyaOrig="4454">
          <v:shape id="_x0000_i1036" type="#_x0000_t75" style="width:426pt;height:228pt" o:ole="">
            <v:imagedata r:id="rId30" o:title=""/>
          </v:shape>
          <o:OLEObject Type="Embed" ProgID="Excel.Sheet.12" ShapeID="_x0000_i1036" DrawAspect="Content" ObjectID="_1457764203" r:id="rId31"/>
        </w:object>
      </w:r>
    </w:p>
    <w:sectPr w:rsidR="00E16FA0" w:rsidSect="00097738">
      <w:footerReference w:type="even" r:id="rId32"/>
      <w:footerReference w:type="default" r:id="rId33"/>
      <w:pgSz w:w="12240" w:h="15840" w:code="1"/>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42" w:rsidRDefault="00901242">
      <w:r>
        <w:separator/>
      </w:r>
    </w:p>
  </w:endnote>
  <w:endnote w:type="continuationSeparator" w:id="0">
    <w:p w:rsidR="00901242" w:rsidRDefault="00901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10p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5C" w:rsidRDefault="00BD7A18" w:rsidP="00165206">
    <w:pPr>
      <w:pStyle w:val="Footer"/>
      <w:framePr w:wrap="around" w:vAnchor="text" w:hAnchor="margin" w:xAlign="right" w:y="1"/>
      <w:rPr>
        <w:rStyle w:val="PageNumber"/>
      </w:rPr>
    </w:pPr>
    <w:r>
      <w:rPr>
        <w:rStyle w:val="PageNumber"/>
      </w:rPr>
      <w:fldChar w:fldCharType="begin"/>
    </w:r>
    <w:r w:rsidR="00D02E5C">
      <w:rPr>
        <w:rStyle w:val="PageNumber"/>
      </w:rPr>
      <w:instrText xml:space="preserve">PAGE  </w:instrText>
    </w:r>
    <w:r>
      <w:rPr>
        <w:rStyle w:val="PageNumber"/>
      </w:rPr>
      <w:fldChar w:fldCharType="end"/>
    </w:r>
  </w:p>
  <w:p w:rsidR="00D02E5C" w:rsidRDefault="00D02E5C" w:rsidP="008F6F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5977222"/>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D02E5C" w:rsidRPr="00A94453" w:rsidRDefault="00D02E5C">
            <w:pPr>
              <w:pStyle w:val="Footer"/>
              <w:jc w:val="right"/>
              <w:rPr>
                <w:sz w:val="20"/>
                <w:szCs w:val="20"/>
              </w:rPr>
            </w:pPr>
            <w:r w:rsidRPr="00A94453">
              <w:rPr>
                <w:sz w:val="20"/>
                <w:szCs w:val="20"/>
              </w:rPr>
              <w:t xml:space="preserve">Page </w:t>
            </w:r>
            <w:r w:rsidR="00BD7A18" w:rsidRPr="00A94453">
              <w:rPr>
                <w:b/>
                <w:sz w:val="20"/>
                <w:szCs w:val="20"/>
              </w:rPr>
              <w:fldChar w:fldCharType="begin"/>
            </w:r>
            <w:r w:rsidRPr="00A94453">
              <w:rPr>
                <w:b/>
                <w:sz w:val="20"/>
                <w:szCs w:val="20"/>
              </w:rPr>
              <w:instrText xml:space="preserve"> PAGE </w:instrText>
            </w:r>
            <w:r w:rsidR="00BD7A18" w:rsidRPr="00A94453">
              <w:rPr>
                <w:b/>
                <w:sz w:val="20"/>
                <w:szCs w:val="20"/>
              </w:rPr>
              <w:fldChar w:fldCharType="separate"/>
            </w:r>
            <w:r w:rsidR="00667841">
              <w:rPr>
                <w:b/>
                <w:noProof/>
                <w:sz w:val="20"/>
                <w:szCs w:val="20"/>
              </w:rPr>
              <w:t>7</w:t>
            </w:r>
            <w:r w:rsidR="00BD7A18" w:rsidRPr="00A94453">
              <w:rPr>
                <w:b/>
                <w:sz w:val="20"/>
                <w:szCs w:val="20"/>
              </w:rPr>
              <w:fldChar w:fldCharType="end"/>
            </w:r>
            <w:r w:rsidRPr="00A94453">
              <w:rPr>
                <w:sz w:val="20"/>
                <w:szCs w:val="20"/>
              </w:rPr>
              <w:t xml:space="preserve"> of </w:t>
            </w:r>
            <w:r w:rsidR="00BD7A18" w:rsidRPr="00A94453">
              <w:rPr>
                <w:b/>
                <w:sz w:val="20"/>
                <w:szCs w:val="20"/>
              </w:rPr>
              <w:fldChar w:fldCharType="begin"/>
            </w:r>
            <w:r w:rsidRPr="00A94453">
              <w:rPr>
                <w:b/>
                <w:sz w:val="20"/>
                <w:szCs w:val="20"/>
              </w:rPr>
              <w:instrText xml:space="preserve"> NUMPAGES  </w:instrText>
            </w:r>
            <w:r w:rsidR="00BD7A18" w:rsidRPr="00A94453">
              <w:rPr>
                <w:b/>
                <w:sz w:val="20"/>
                <w:szCs w:val="20"/>
              </w:rPr>
              <w:fldChar w:fldCharType="separate"/>
            </w:r>
            <w:r w:rsidR="00667841">
              <w:rPr>
                <w:b/>
                <w:noProof/>
                <w:sz w:val="20"/>
                <w:szCs w:val="20"/>
              </w:rPr>
              <w:t>10</w:t>
            </w:r>
            <w:r w:rsidR="00BD7A18" w:rsidRPr="00A94453">
              <w:rPr>
                <w:b/>
                <w:sz w:val="20"/>
                <w:szCs w:val="20"/>
              </w:rPr>
              <w:fldChar w:fldCharType="end"/>
            </w:r>
          </w:p>
        </w:sdtContent>
      </w:sdt>
    </w:sdtContent>
  </w:sdt>
  <w:p w:rsidR="00D02E5C" w:rsidRPr="00A94453" w:rsidRDefault="00D02E5C" w:rsidP="008F6F25">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42" w:rsidRDefault="00901242">
      <w:r>
        <w:separator/>
      </w:r>
    </w:p>
  </w:footnote>
  <w:footnote w:type="continuationSeparator" w:id="0">
    <w:p w:rsidR="00901242" w:rsidRDefault="009012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64E"/>
    <w:multiLevelType w:val="multilevel"/>
    <w:tmpl w:val="4B68422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B76D5F"/>
    <w:multiLevelType w:val="hybridMultilevel"/>
    <w:tmpl w:val="234C7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C25CA"/>
    <w:multiLevelType w:val="hybridMultilevel"/>
    <w:tmpl w:val="705CDC88"/>
    <w:lvl w:ilvl="0" w:tplc="0DE209E2">
      <w:start w:val="2"/>
      <w:numFmt w:val="decimal"/>
      <w:lvlText w:val="%1."/>
      <w:lvlJc w:val="left"/>
      <w:pPr>
        <w:tabs>
          <w:tab w:val="num" w:pos="360"/>
        </w:tabs>
        <w:ind w:left="360" w:hanging="360"/>
      </w:pPr>
      <w:rPr>
        <w:rFonts w:ascii="Garamond" w:hAnsi="Garamond"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456A8"/>
    <w:multiLevelType w:val="multilevel"/>
    <w:tmpl w:val="705CDC88"/>
    <w:lvl w:ilvl="0">
      <w:start w:val="2"/>
      <w:numFmt w:val="decimal"/>
      <w:lvlText w:val="%1."/>
      <w:lvlJc w:val="left"/>
      <w:pPr>
        <w:tabs>
          <w:tab w:val="num" w:pos="360"/>
        </w:tabs>
        <w:ind w:left="360" w:hanging="360"/>
      </w:pPr>
      <w:rPr>
        <w:rFonts w:ascii="Garamond" w:hAnsi="Garamon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4B03BC"/>
    <w:multiLevelType w:val="hybridMultilevel"/>
    <w:tmpl w:val="D180CFCC"/>
    <w:lvl w:ilvl="0" w:tplc="6F0A5804">
      <w:start w:val="1"/>
      <w:numFmt w:val="bullet"/>
      <w:lvlText w:val=""/>
      <w:lvlJc w:val="left"/>
      <w:pPr>
        <w:tabs>
          <w:tab w:val="num" w:pos="1905"/>
        </w:tabs>
        <w:ind w:left="1905"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234F433E"/>
    <w:multiLevelType w:val="hybridMultilevel"/>
    <w:tmpl w:val="94CCCC10"/>
    <w:lvl w:ilvl="0" w:tplc="73449A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2E18A0"/>
    <w:multiLevelType w:val="hybridMultilevel"/>
    <w:tmpl w:val="C4CEA746"/>
    <w:lvl w:ilvl="0" w:tplc="9948EA9C">
      <w:start w:val="3"/>
      <w:numFmt w:val="decimal"/>
      <w:lvlText w:val="%1."/>
      <w:lvlJc w:val="left"/>
      <w:pPr>
        <w:tabs>
          <w:tab w:val="num" w:pos="900"/>
        </w:tabs>
        <w:ind w:left="900" w:hanging="360"/>
      </w:pPr>
      <w:rPr>
        <w:rFonts w:ascii="Garamond" w:hAnsi="Garamond" w:hint="default"/>
        <w:b/>
        <w:i/>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25852BAA"/>
    <w:multiLevelType w:val="hybridMultilevel"/>
    <w:tmpl w:val="B9DA842E"/>
    <w:lvl w:ilvl="0" w:tplc="1C28A7CC">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EC4827"/>
    <w:multiLevelType w:val="hybridMultilevel"/>
    <w:tmpl w:val="3BEA1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0688A"/>
    <w:multiLevelType w:val="hybridMultilevel"/>
    <w:tmpl w:val="EDC8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410A3"/>
    <w:multiLevelType w:val="hybridMultilevel"/>
    <w:tmpl w:val="D7CE99F2"/>
    <w:lvl w:ilvl="0" w:tplc="2A1868DE">
      <w:start w:val="2"/>
      <w:numFmt w:val="decimal"/>
      <w:lvlText w:val="%1."/>
      <w:lvlJc w:val="left"/>
      <w:pPr>
        <w:tabs>
          <w:tab w:val="num" w:pos="360"/>
        </w:tabs>
        <w:ind w:left="360" w:hanging="360"/>
      </w:pPr>
      <w:rPr>
        <w:rFonts w:hint="default"/>
      </w:rPr>
    </w:lvl>
    <w:lvl w:ilvl="1" w:tplc="E626D57E">
      <w:numFmt w:val="bullet"/>
      <w:lvlText w:val=""/>
      <w:lvlJc w:val="left"/>
      <w:pPr>
        <w:tabs>
          <w:tab w:val="num" w:pos="720"/>
        </w:tabs>
        <w:ind w:left="720" w:firstLine="0"/>
      </w:pPr>
      <w:rPr>
        <w:rFonts w:ascii="Symbol" w:hAnsi="Symbol" w:hint="default"/>
        <w:color w:val="auto"/>
        <w:sz w:val="24"/>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2D77695E"/>
    <w:multiLevelType w:val="hybridMultilevel"/>
    <w:tmpl w:val="159E9190"/>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2E8319F9"/>
    <w:multiLevelType w:val="hybridMultilevel"/>
    <w:tmpl w:val="C73A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095B"/>
    <w:multiLevelType w:val="hybridMultilevel"/>
    <w:tmpl w:val="DE04D72A"/>
    <w:lvl w:ilvl="0" w:tplc="B6509148">
      <w:start w:val="14"/>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926BEE"/>
    <w:multiLevelType w:val="hybridMultilevel"/>
    <w:tmpl w:val="6DCA76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91E7860"/>
    <w:multiLevelType w:val="hybridMultilevel"/>
    <w:tmpl w:val="9CEA3CDC"/>
    <w:lvl w:ilvl="0" w:tplc="AE86D5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E686C"/>
    <w:multiLevelType w:val="hybridMultilevel"/>
    <w:tmpl w:val="A06CD29C"/>
    <w:lvl w:ilvl="0" w:tplc="6F0A5804">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F72438D"/>
    <w:multiLevelType w:val="hybridMultilevel"/>
    <w:tmpl w:val="E1CCF5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F3A85"/>
    <w:multiLevelType w:val="hybridMultilevel"/>
    <w:tmpl w:val="6C5EC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44569D"/>
    <w:multiLevelType w:val="hybridMultilevel"/>
    <w:tmpl w:val="C61E193C"/>
    <w:lvl w:ilvl="0" w:tplc="B5CE4B8C">
      <w:start w:val="14"/>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0">
    <w:nsid w:val="44CB5CFF"/>
    <w:multiLevelType w:val="hybridMultilevel"/>
    <w:tmpl w:val="270AF61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E76F1B"/>
    <w:multiLevelType w:val="multilevel"/>
    <w:tmpl w:val="382428FA"/>
    <w:lvl w:ilvl="0">
      <w:start w:val="3"/>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53C6276D"/>
    <w:multiLevelType w:val="hybridMultilevel"/>
    <w:tmpl w:val="1C705F22"/>
    <w:lvl w:ilvl="0" w:tplc="422284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A7E4F39"/>
    <w:multiLevelType w:val="hybridMultilevel"/>
    <w:tmpl w:val="EE70EE8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nsid w:val="601D7376"/>
    <w:multiLevelType w:val="multilevel"/>
    <w:tmpl w:val="63A402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u w:val="none"/>
      </w:rPr>
    </w:lvl>
    <w:lvl w:ilvl="2">
      <w:start w:val="1"/>
      <w:numFmt w:val="decimal"/>
      <w:isLgl/>
      <w:lvlText w:val="%1.%2.%3"/>
      <w:lvlJc w:val="left"/>
      <w:pPr>
        <w:tabs>
          <w:tab w:val="num" w:pos="1080"/>
        </w:tabs>
        <w:ind w:left="1080" w:hanging="720"/>
      </w:pPr>
      <w:rPr>
        <w:rFonts w:hint="default"/>
        <w:u w:val="none"/>
      </w:rPr>
    </w:lvl>
    <w:lvl w:ilvl="3">
      <w:start w:val="1"/>
      <w:numFmt w:val="decimal"/>
      <w:isLgl/>
      <w:lvlText w:val="%1.%2.%3.%4"/>
      <w:lvlJc w:val="left"/>
      <w:pPr>
        <w:tabs>
          <w:tab w:val="num" w:pos="1080"/>
        </w:tabs>
        <w:ind w:left="1080" w:hanging="720"/>
      </w:pPr>
      <w:rPr>
        <w:rFonts w:hint="default"/>
        <w:u w:val="none"/>
      </w:rPr>
    </w:lvl>
    <w:lvl w:ilvl="4">
      <w:start w:val="1"/>
      <w:numFmt w:val="decimal"/>
      <w:isLgl/>
      <w:lvlText w:val="%1.%2.%3.%4.%5"/>
      <w:lvlJc w:val="left"/>
      <w:pPr>
        <w:tabs>
          <w:tab w:val="num" w:pos="1080"/>
        </w:tabs>
        <w:ind w:left="1080" w:hanging="720"/>
      </w:pPr>
      <w:rPr>
        <w:rFonts w:hint="default"/>
        <w:u w:val="none"/>
      </w:rPr>
    </w:lvl>
    <w:lvl w:ilvl="5">
      <w:start w:val="1"/>
      <w:numFmt w:val="decimal"/>
      <w:isLgl/>
      <w:lvlText w:val="%1.%2.%3.%4.%5.%6"/>
      <w:lvlJc w:val="left"/>
      <w:pPr>
        <w:tabs>
          <w:tab w:val="num" w:pos="1440"/>
        </w:tabs>
        <w:ind w:left="1440" w:hanging="1080"/>
      </w:pPr>
      <w:rPr>
        <w:rFonts w:hint="default"/>
        <w:u w:val="none"/>
      </w:rPr>
    </w:lvl>
    <w:lvl w:ilvl="6">
      <w:start w:val="1"/>
      <w:numFmt w:val="decimal"/>
      <w:isLgl/>
      <w:lvlText w:val="%1.%2.%3.%4.%5.%6.%7"/>
      <w:lvlJc w:val="left"/>
      <w:pPr>
        <w:tabs>
          <w:tab w:val="num" w:pos="1440"/>
        </w:tabs>
        <w:ind w:left="1440" w:hanging="1080"/>
      </w:pPr>
      <w:rPr>
        <w:rFonts w:hint="default"/>
        <w:u w:val="none"/>
      </w:rPr>
    </w:lvl>
    <w:lvl w:ilvl="7">
      <w:start w:val="1"/>
      <w:numFmt w:val="decimal"/>
      <w:isLgl/>
      <w:lvlText w:val="%1.%2.%3.%4.%5.%6.%7.%8"/>
      <w:lvlJc w:val="left"/>
      <w:pPr>
        <w:tabs>
          <w:tab w:val="num" w:pos="1800"/>
        </w:tabs>
        <w:ind w:left="1800" w:hanging="1440"/>
      </w:pPr>
      <w:rPr>
        <w:rFonts w:hint="default"/>
        <w:u w:val="none"/>
      </w:rPr>
    </w:lvl>
    <w:lvl w:ilvl="8">
      <w:start w:val="1"/>
      <w:numFmt w:val="decimal"/>
      <w:isLgl/>
      <w:lvlText w:val="%1.%2.%3.%4.%5.%6.%7.%8.%9"/>
      <w:lvlJc w:val="left"/>
      <w:pPr>
        <w:tabs>
          <w:tab w:val="num" w:pos="1800"/>
        </w:tabs>
        <w:ind w:left="1800" w:hanging="1440"/>
      </w:pPr>
      <w:rPr>
        <w:rFonts w:hint="default"/>
        <w:u w:val="none"/>
      </w:rPr>
    </w:lvl>
  </w:abstractNum>
  <w:abstractNum w:abstractNumId="25">
    <w:nsid w:val="69231F0A"/>
    <w:multiLevelType w:val="hybridMultilevel"/>
    <w:tmpl w:val="0FA80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1A25D2"/>
    <w:multiLevelType w:val="hybridMultilevel"/>
    <w:tmpl w:val="3DC87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C64314"/>
    <w:multiLevelType w:val="hybridMultilevel"/>
    <w:tmpl w:val="1834F96A"/>
    <w:lvl w:ilvl="0" w:tplc="E96EC02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0A2723"/>
    <w:multiLevelType w:val="hybridMultilevel"/>
    <w:tmpl w:val="B5564C46"/>
    <w:lvl w:ilvl="0" w:tplc="55F06A4E">
      <w:numFmt w:val="bullet"/>
      <w:lvlText w:val=""/>
      <w:lvlJc w:val="left"/>
      <w:pPr>
        <w:ind w:left="907" w:hanging="360"/>
      </w:pPr>
      <w:rPr>
        <w:rFonts w:ascii="Symbol" w:eastAsia="Times New Roman" w:hAnsi="Symbol" w:cs="Calibri"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778028C8"/>
    <w:multiLevelType w:val="hybridMultilevel"/>
    <w:tmpl w:val="F5AA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04D8D"/>
    <w:multiLevelType w:val="hybridMultilevel"/>
    <w:tmpl w:val="DDBE5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B54C54"/>
    <w:multiLevelType w:val="hybridMultilevel"/>
    <w:tmpl w:val="B8645F3A"/>
    <w:lvl w:ilvl="0" w:tplc="3EF6BFBA">
      <w:numFmt w:val="bullet"/>
      <w:lvlText w:val="-"/>
      <w:lvlJc w:val="left"/>
      <w:pPr>
        <w:ind w:left="907" w:hanging="360"/>
      </w:pPr>
      <w:rPr>
        <w:rFonts w:ascii="Calibri" w:eastAsia="Times New Roman" w:hAnsi="Calibri" w:cs="Calibri"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2">
    <w:nsid w:val="7CB757CE"/>
    <w:multiLevelType w:val="hybridMultilevel"/>
    <w:tmpl w:val="832E1036"/>
    <w:lvl w:ilvl="0" w:tplc="3B7C6B6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FC33BD"/>
    <w:multiLevelType w:val="hybridMultilevel"/>
    <w:tmpl w:val="8C60BEAE"/>
    <w:lvl w:ilvl="0" w:tplc="9F9A7FC0">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26"/>
  </w:num>
  <w:num w:numId="4">
    <w:abstractNumId w:val="1"/>
  </w:num>
  <w:num w:numId="5">
    <w:abstractNumId w:val="16"/>
  </w:num>
  <w:num w:numId="6">
    <w:abstractNumId w:val="4"/>
  </w:num>
  <w:num w:numId="7">
    <w:abstractNumId w:val="0"/>
  </w:num>
  <w:num w:numId="8">
    <w:abstractNumId w:val="25"/>
  </w:num>
  <w:num w:numId="9">
    <w:abstractNumId w:val="23"/>
  </w:num>
  <w:num w:numId="10">
    <w:abstractNumId w:val="10"/>
  </w:num>
  <w:num w:numId="11">
    <w:abstractNumId w:val="24"/>
  </w:num>
  <w:num w:numId="12">
    <w:abstractNumId w:val="14"/>
  </w:num>
  <w:num w:numId="13">
    <w:abstractNumId w:val="21"/>
  </w:num>
  <w:num w:numId="14">
    <w:abstractNumId w:val="7"/>
  </w:num>
  <w:num w:numId="15">
    <w:abstractNumId w:val="19"/>
  </w:num>
  <w:num w:numId="16">
    <w:abstractNumId w:val="13"/>
  </w:num>
  <w:num w:numId="17">
    <w:abstractNumId w:val="5"/>
  </w:num>
  <w:num w:numId="18">
    <w:abstractNumId w:val="33"/>
  </w:num>
  <w:num w:numId="19">
    <w:abstractNumId w:val="18"/>
  </w:num>
  <w:num w:numId="20">
    <w:abstractNumId w:val="11"/>
  </w:num>
  <w:num w:numId="21">
    <w:abstractNumId w:val="20"/>
  </w:num>
  <w:num w:numId="22">
    <w:abstractNumId w:val="2"/>
  </w:num>
  <w:num w:numId="23">
    <w:abstractNumId w:val="3"/>
  </w:num>
  <w:num w:numId="24">
    <w:abstractNumId w:val="6"/>
  </w:num>
  <w:num w:numId="25">
    <w:abstractNumId w:val="32"/>
  </w:num>
  <w:num w:numId="26">
    <w:abstractNumId w:val="12"/>
  </w:num>
  <w:num w:numId="27">
    <w:abstractNumId w:val="17"/>
  </w:num>
  <w:num w:numId="28">
    <w:abstractNumId w:val="29"/>
  </w:num>
  <w:num w:numId="29">
    <w:abstractNumId w:val="9"/>
  </w:num>
  <w:num w:numId="30">
    <w:abstractNumId w:val="31"/>
  </w:num>
  <w:num w:numId="31">
    <w:abstractNumId w:val="28"/>
  </w:num>
  <w:num w:numId="32">
    <w:abstractNumId w:val="15"/>
  </w:num>
  <w:num w:numId="33">
    <w:abstractNumId w:val="8"/>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rsids>
    <w:rsidRoot w:val="00F862D0"/>
    <w:rsid w:val="00006197"/>
    <w:rsid w:val="000066EA"/>
    <w:rsid w:val="00017B78"/>
    <w:rsid w:val="0002333B"/>
    <w:rsid w:val="00024196"/>
    <w:rsid w:val="00026B18"/>
    <w:rsid w:val="00026CE2"/>
    <w:rsid w:val="000270DF"/>
    <w:rsid w:val="00034E8F"/>
    <w:rsid w:val="00036C42"/>
    <w:rsid w:val="00044ED7"/>
    <w:rsid w:val="00045086"/>
    <w:rsid w:val="000477A3"/>
    <w:rsid w:val="000511A6"/>
    <w:rsid w:val="00052520"/>
    <w:rsid w:val="0005263B"/>
    <w:rsid w:val="00053304"/>
    <w:rsid w:val="0005336E"/>
    <w:rsid w:val="00053F73"/>
    <w:rsid w:val="00054F2A"/>
    <w:rsid w:val="00056A99"/>
    <w:rsid w:val="00066CB9"/>
    <w:rsid w:val="00082088"/>
    <w:rsid w:val="00083CB7"/>
    <w:rsid w:val="000841D1"/>
    <w:rsid w:val="00085DD7"/>
    <w:rsid w:val="00087AE9"/>
    <w:rsid w:val="00092277"/>
    <w:rsid w:val="0009364A"/>
    <w:rsid w:val="00095E4F"/>
    <w:rsid w:val="00097738"/>
    <w:rsid w:val="000A49E0"/>
    <w:rsid w:val="000A5E4A"/>
    <w:rsid w:val="000B133B"/>
    <w:rsid w:val="000B5437"/>
    <w:rsid w:val="000D2C95"/>
    <w:rsid w:val="000D3E50"/>
    <w:rsid w:val="000D4A94"/>
    <w:rsid w:val="000E236A"/>
    <w:rsid w:val="000F0170"/>
    <w:rsid w:val="000F1244"/>
    <w:rsid w:val="000F3445"/>
    <w:rsid w:val="000F4158"/>
    <w:rsid w:val="000F5119"/>
    <w:rsid w:val="000F6492"/>
    <w:rsid w:val="00100808"/>
    <w:rsid w:val="001064BA"/>
    <w:rsid w:val="00106C79"/>
    <w:rsid w:val="00110FE3"/>
    <w:rsid w:val="00116EBE"/>
    <w:rsid w:val="00117055"/>
    <w:rsid w:val="00117484"/>
    <w:rsid w:val="0012482D"/>
    <w:rsid w:val="00124EEE"/>
    <w:rsid w:val="00125771"/>
    <w:rsid w:val="00125FB3"/>
    <w:rsid w:val="00126386"/>
    <w:rsid w:val="00130213"/>
    <w:rsid w:val="001325E7"/>
    <w:rsid w:val="00133F7D"/>
    <w:rsid w:val="00140783"/>
    <w:rsid w:val="001420EA"/>
    <w:rsid w:val="00143022"/>
    <w:rsid w:val="0014460F"/>
    <w:rsid w:val="00145FA6"/>
    <w:rsid w:val="001464E3"/>
    <w:rsid w:val="00150210"/>
    <w:rsid w:val="001506C2"/>
    <w:rsid w:val="00150AEC"/>
    <w:rsid w:val="0015318D"/>
    <w:rsid w:val="00153710"/>
    <w:rsid w:val="0015779C"/>
    <w:rsid w:val="00157C6A"/>
    <w:rsid w:val="00162B81"/>
    <w:rsid w:val="00165001"/>
    <w:rsid w:val="001651D9"/>
    <w:rsid w:val="00165206"/>
    <w:rsid w:val="00166806"/>
    <w:rsid w:val="00171F20"/>
    <w:rsid w:val="001733B7"/>
    <w:rsid w:val="00173B36"/>
    <w:rsid w:val="0017446B"/>
    <w:rsid w:val="001763A6"/>
    <w:rsid w:val="0018705D"/>
    <w:rsid w:val="00190323"/>
    <w:rsid w:val="00191D2B"/>
    <w:rsid w:val="0019369F"/>
    <w:rsid w:val="001A1075"/>
    <w:rsid w:val="001A3097"/>
    <w:rsid w:val="001A57C8"/>
    <w:rsid w:val="001A5D97"/>
    <w:rsid w:val="001A719A"/>
    <w:rsid w:val="001B23F2"/>
    <w:rsid w:val="001B3329"/>
    <w:rsid w:val="001B3860"/>
    <w:rsid w:val="001B4A46"/>
    <w:rsid w:val="001B5DB6"/>
    <w:rsid w:val="001C01B2"/>
    <w:rsid w:val="001C03C3"/>
    <w:rsid w:val="001C05B4"/>
    <w:rsid w:val="001C1CFC"/>
    <w:rsid w:val="001D4E49"/>
    <w:rsid w:val="001D5EC3"/>
    <w:rsid w:val="001E0800"/>
    <w:rsid w:val="001E2060"/>
    <w:rsid w:val="001F0782"/>
    <w:rsid w:val="001F2F43"/>
    <w:rsid w:val="001F40FD"/>
    <w:rsid w:val="001F62D3"/>
    <w:rsid w:val="00200649"/>
    <w:rsid w:val="002009B6"/>
    <w:rsid w:val="002017FB"/>
    <w:rsid w:val="0020414D"/>
    <w:rsid w:val="0020415D"/>
    <w:rsid w:val="0020447B"/>
    <w:rsid w:val="00204F7F"/>
    <w:rsid w:val="002059B5"/>
    <w:rsid w:val="00206551"/>
    <w:rsid w:val="0021118D"/>
    <w:rsid w:val="00212074"/>
    <w:rsid w:val="00213584"/>
    <w:rsid w:val="00214C10"/>
    <w:rsid w:val="00215BA7"/>
    <w:rsid w:val="002213E8"/>
    <w:rsid w:val="002229A9"/>
    <w:rsid w:val="00222C3F"/>
    <w:rsid w:val="00222DC7"/>
    <w:rsid w:val="00223375"/>
    <w:rsid w:val="002233F9"/>
    <w:rsid w:val="00223A52"/>
    <w:rsid w:val="00224AEB"/>
    <w:rsid w:val="002254BF"/>
    <w:rsid w:val="002260D6"/>
    <w:rsid w:val="00226D5F"/>
    <w:rsid w:val="00230ED1"/>
    <w:rsid w:val="002320C2"/>
    <w:rsid w:val="00232698"/>
    <w:rsid w:val="002334DD"/>
    <w:rsid w:val="00240933"/>
    <w:rsid w:val="00241867"/>
    <w:rsid w:val="0024597B"/>
    <w:rsid w:val="002507F6"/>
    <w:rsid w:val="00253692"/>
    <w:rsid w:val="00256184"/>
    <w:rsid w:val="002663BD"/>
    <w:rsid w:val="00266D32"/>
    <w:rsid w:val="00266D8B"/>
    <w:rsid w:val="0026769B"/>
    <w:rsid w:val="002702D7"/>
    <w:rsid w:val="00273441"/>
    <w:rsid w:val="00284545"/>
    <w:rsid w:val="002857A5"/>
    <w:rsid w:val="0028724F"/>
    <w:rsid w:val="002957F5"/>
    <w:rsid w:val="002A1E48"/>
    <w:rsid w:val="002A773E"/>
    <w:rsid w:val="002B03C0"/>
    <w:rsid w:val="002B21D5"/>
    <w:rsid w:val="002B2C1B"/>
    <w:rsid w:val="002B7BEA"/>
    <w:rsid w:val="002C398F"/>
    <w:rsid w:val="002C562A"/>
    <w:rsid w:val="002C7353"/>
    <w:rsid w:val="002D0667"/>
    <w:rsid w:val="002D0E5B"/>
    <w:rsid w:val="002D55A4"/>
    <w:rsid w:val="002D6092"/>
    <w:rsid w:val="002D60AF"/>
    <w:rsid w:val="002D675F"/>
    <w:rsid w:val="002D6771"/>
    <w:rsid w:val="002D7130"/>
    <w:rsid w:val="002D7132"/>
    <w:rsid w:val="002E3F08"/>
    <w:rsid w:val="002E64B2"/>
    <w:rsid w:val="002F1385"/>
    <w:rsid w:val="002F2B7A"/>
    <w:rsid w:val="002F3500"/>
    <w:rsid w:val="002F4627"/>
    <w:rsid w:val="002F5060"/>
    <w:rsid w:val="002F5141"/>
    <w:rsid w:val="002F5636"/>
    <w:rsid w:val="0030496C"/>
    <w:rsid w:val="00305E34"/>
    <w:rsid w:val="0030796E"/>
    <w:rsid w:val="00310A2F"/>
    <w:rsid w:val="003115F9"/>
    <w:rsid w:val="0031170A"/>
    <w:rsid w:val="00311F47"/>
    <w:rsid w:val="00313C81"/>
    <w:rsid w:val="00314A4F"/>
    <w:rsid w:val="003166C4"/>
    <w:rsid w:val="00320ED2"/>
    <w:rsid w:val="00322E9E"/>
    <w:rsid w:val="00324858"/>
    <w:rsid w:val="00327F63"/>
    <w:rsid w:val="003325CA"/>
    <w:rsid w:val="0033406A"/>
    <w:rsid w:val="003348F1"/>
    <w:rsid w:val="00334B9C"/>
    <w:rsid w:val="00336BB2"/>
    <w:rsid w:val="0033798B"/>
    <w:rsid w:val="003416C9"/>
    <w:rsid w:val="00344EE7"/>
    <w:rsid w:val="0034621E"/>
    <w:rsid w:val="0034637D"/>
    <w:rsid w:val="00347A08"/>
    <w:rsid w:val="00350DBC"/>
    <w:rsid w:val="00352256"/>
    <w:rsid w:val="003566EA"/>
    <w:rsid w:val="00362C42"/>
    <w:rsid w:val="00365D7B"/>
    <w:rsid w:val="00365EFD"/>
    <w:rsid w:val="00370B6D"/>
    <w:rsid w:val="003710BC"/>
    <w:rsid w:val="003744CD"/>
    <w:rsid w:val="0037485A"/>
    <w:rsid w:val="00381ACE"/>
    <w:rsid w:val="00382CD2"/>
    <w:rsid w:val="00383D92"/>
    <w:rsid w:val="003844EF"/>
    <w:rsid w:val="00385067"/>
    <w:rsid w:val="0038536E"/>
    <w:rsid w:val="00386DDF"/>
    <w:rsid w:val="00387EBA"/>
    <w:rsid w:val="003910D6"/>
    <w:rsid w:val="00395A7C"/>
    <w:rsid w:val="0039650E"/>
    <w:rsid w:val="003A1FD3"/>
    <w:rsid w:val="003A5F4A"/>
    <w:rsid w:val="003A7321"/>
    <w:rsid w:val="003B0A52"/>
    <w:rsid w:val="003B0F6C"/>
    <w:rsid w:val="003B240E"/>
    <w:rsid w:val="003B312C"/>
    <w:rsid w:val="003B4E18"/>
    <w:rsid w:val="003B527E"/>
    <w:rsid w:val="003B7AB4"/>
    <w:rsid w:val="003C20E9"/>
    <w:rsid w:val="003C44F0"/>
    <w:rsid w:val="003C5AAA"/>
    <w:rsid w:val="003C64BB"/>
    <w:rsid w:val="003C7C20"/>
    <w:rsid w:val="003D24FC"/>
    <w:rsid w:val="003D2501"/>
    <w:rsid w:val="003D34C7"/>
    <w:rsid w:val="003D3D0D"/>
    <w:rsid w:val="003D729D"/>
    <w:rsid w:val="003E0D1A"/>
    <w:rsid w:val="003E11F7"/>
    <w:rsid w:val="003E5F8B"/>
    <w:rsid w:val="0040544F"/>
    <w:rsid w:val="004059D9"/>
    <w:rsid w:val="0040607D"/>
    <w:rsid w:val="00406434"/>
    <w:rsid w:val="00406A24"/>
    <w:rsid w:val="00411D16"/>
    <w:rsid w:val="00413CDE"/>
    <w:rsid w:val="00414468"/>
    <w:rsid w:val="00415970"/>
    <w:rsid w:val="00415C3F"/>
    <w:rsid w:val="004179D6"/>
    <w:rsid w:val="00422E8D"/>
    <w:rsid w:val="00424695"/>
    <w:rsid w:val="00426477"/>
    <w:rsid w:val="00426BD6"/>
    <w:rsid w:val="004325A5"/>
    <w:rsid w:val="004328B4"/>
    <w:rsid w:val="0043698E"/>
    <w:rsid w:val="00436A3B"/>
    <w:rsid w:val="0044036D"/>
    <w:rsid w:val="00441318"/>
    <w:rsid w:val="00445475"/>
    <w:rsid w:val="00447BCD"/>
    <w:rsid w:val="00451B71"/>
    <w:rsid w:val="00452534"/>
    <w:rsid w:val="00452B99"/>
    <w:rsid w:val="00453C19"/>
    <w:rsid w:val="00453CD7"/>
    <w:rsid w:val="0045426E"/>
    <w:rsid w:val="0045460B"/>
    <w:rsid w:val="00454998"/>
    <w:rsid w:val="00455243"/>
    <w:rsid w:val="00457301"/>
    <w:rsid w:val="00463395"/>
    <w:rsid w:val="00463CEC"/>
    <w:rsid w:val="00463F1C"/>
    <w:rsid w:val="00465985"/>
    <w:rsid w:val="00465A60"/>
    <w:rsid w:val="004706FD"/>
    <w:rsid w:val="00471C44"/>
    <w:rsid w:val="004759BC"/>
    <w:rsid w:val="00482AA2"/>
    <w:rsid w:val="00483224"/>
    <w:rsid w:val="00483D2B"/>
    <w:rsid w:val="0048416D"/>
    <w:rsid w:val="00485334"/>
    <w:rsid w:val="00486E03"/>
    <w:rsid w:val="004870C9"/>
    <w:rsid w:val="00487B06"/>
    <w:rsid w:val="00492834"/>
    <w:rsid w:val="004A4B7E"/>
    <w:rsid w:val="004B2CC1"/>
    <w:rsid w:val="004B36CF"/>
    <w:rsid w:val="004B3FE3"/>
    <w:rsid w:val="004B489A"/>
    <w:rsid w:val="004B4E5B"/>
    <w:rsid w:val="004B511B"/>
    <w:rsid w:val="004B5C45"/>
    <w:rsid w:val="004C073E"/>
    <w:rsid w:val="004C19B1"/>
    <w:rsid w:val="004C4352"/>
    <w:rsid w:val="004D082E"/>
    <w:rsid w:val="004D0D36"/>
    <w:rsid w:val="004D3C9C"/>
    <w:rsid w:val="004D48E3"/>
    <w:rsid w:val="004D61CE"/>
    <w:rsid w:val="004D6ECF"/>
    <w:rsid w:val="004E0D58"/>
    <w:rsid w:val="004E1191"/>
    <w:rsid w:val="004E1C1B"/>
    <w:rsid w:val="004E1D65"/>
    <w:rsid w:val="004E2B16"/>
    <w:rsid w:val="004E4BA1"/>
    <w:rsid w:val="004E7E90"/>
    <w:rsid w:val="004F1FC1"/>
    <w:rsid w:val="00500CB9"/>
    <w:rsid w:val="00506271"/>
    <w:rsid w:val="005068F5"/>
    <w:rsid w:val="0051038B"/>
    <w:rsid w:val="0051352E"/>
    <w:rsid w:val="00514E65"/>
    <w:rsid w:val="00520CFD"/>
    <w:rsid w:val="00521C85"/>
    <w:rsid w:val="00523E84"/>
    <w:rsid w:val="0052763D"/>
    <w:rsid w:val="0053075A"/>
    <w:rsid w:val="0053666B"/>
    <w:rsid w:val="0054233A"/>
    <w:rsid w:val="005452BE"/>
    <w:rsid w:val="00547C91"/>
    <w:rsid w:val="005543AE"/>
    <w:rsid w:val="00554509"/>
    <w:rsid w:val="00557641"/>
    <w:rsid w:val="005619A5"/>
    <w:rsid w:val="0056524A"/>
    <w:rsid w:val="00565F8B"/>
    <w:rsid w:val="0057014D"/>
    <w:rsid w:val="00572B90"/>
    <w:rsid w:val="005732C5"/>
    <w:rsid w:val="0057576A"/>
    <w:rsid w:val="00575AE5"/>
    <w:rsid w:val="00576DEF"/>
    <w:rsid w:val="0058293A"/>
    <w:rsid w:val="005832E5"/>
    <w:rsid w:val="00583E52"/>
    <w:rsid w:val="0058479E"/>
    <w:rsid w:val="0058552B"/>
    <w:rsid w:val="00587841"/>
    <w:rsid w:val="005909AB"/>
    <w:rsid w:val="00596700"/>
    <w:rsid w:val="005A2B25"/>
    <w:rsid w:val="005A5407"/>
    <w:rsid w:val="005A600E"/>
    <w:rsid w:val="005B2C39"/>
    <w:rsid w:val="005B5494"/>
    <w:rsid w:val="005C10CB"/>
    <w:rsid w:val="005C2E01"/>
    <w:rsid w:val="005C338F"/>
    <w:rsid w:val="005C657D"/>
    <w:rsid w:val="005C7FAB"/>
    <w:rsid w:val="005D0942"/>
    <w:rsid w:val="005E4AC4"/>
    <w:rsid w:val="005F0069"/>
    <w:rsid w:val="005F25AE"/>
    <w:rsid w:val="005F2F68"/>
    <w:rsid w:val="005F352B"/>
    <w:rsid w:val="005F4F4A"/>
    <w:rsid w:val="005F61C8"/>
    <w:rsid w:val="005F7AF4"/>
    <w:rsid w:val="006045B3"/>
    <w:rsid w:val="00604CC7"/>
    <w:rsid w:val="00605B1A"/>
    <w:rsid w:val="0060657D"/>
    <w:rsid w:val="00607E1F"/>
    <w:rsid w:val="00610D7C"/>
    <w:rsid w:val="00614D4E"/>
    <w:rsid w:val="006158EF"/>
    <w:rsid w:val="006213E0"/>
    <w:rsid w:val="006225D8"/>
    <w:rsid w:val="0062383A"/>
    <w:rsid w:val="006247E2"/>
    <w:rsid w:val="00625A3B"/>
    <w:rsid w:val="006330EA"/>
    <w:rsid w:val="0063472F"/>
    <w:rsid w:val="0063768F"/>
    <w:rsid w:val="00644DB5"/>
    <w:rsid w:val="00651291"/>
    <w:rsid w:val="006541B9"/>
    <w:rsid w:val="006552D6"/>
    <w:rsid w:val="00655925"/>
    <w:rsid w:val="00656C33"/>
    <w:rsid w:val="00656F4D"/>
    <w:rsid w:val="00660D5E"/>
    <w:rsid w:val="00663F1E"/>
    <w:rsid w:val="00667841"/>
    <w:rsid w:val="00667D68"/>
    <w:rsid w:val="0067004A"/>
    <w:rsid w:val="00673EEE"/>
    <w:rsid w:val="0068107B"/>
    <w:rsid w:val="00681874"/>
    <w:rsid w:val="00683E69"/>
    <w:rsid w:val="00694692"/>
    <w:rsid w:val="006A0BF6"/>
    <w:rsid w:val="006A241A"/>
    <w:rsid w:val="006A7E11"/>
    <w:rsid w:val="006B0220"/>
    <w:rsid w:val="006B0299"/>
    <w:rsid w:val="006B2700"/>
    <w:rsid w:val="006B3753"/>
    <w:rsid w:val="006B39EC"/>
    <w:rsid w:val="006B420D"/>
    <w:rsid w:val="006B5B5A"/>
    <w:rsid w:val="006B6976"/>
    <w:rsid w:val="006C10A7"/>
    <w:rsid w:val="006C4D39"/>
    <w:rsid w:val="006C4E19"/>
    <w:rsid w:val="006D2EE5"/>
    <w:rsid w:val="006D3DDD"/>
    <w:rsid w:val="006D4CD3"/>
    <w:rsid w:val="006D540A"/>
    <w:rsid w:val="006D6E09"/>
    <w:rsid w:val="006E0BAB"/>
    <w:rsid w:val="006F3F33"/>
    <w:rsid w:val="006F6C71"/>
    <w:rsid w:val="006F70F7"/>
    <w:rsid w:val="006F75C4"/>
    <w:rsid w:val="0072038D"/>
    <w:rsid w:val="00734885"/>
    <w:rsid w:val="00735B7A"/>
    <w:rsid w:val="00737905"/>
    <w:rsid w:val="00741768"/>
    <w:rsid w:val="00742A1F"/>
    <w:rsid w:val="00743CF6"/>
    <w:rsid w:val="00743F50"/>
    <w:rsid w:val="00744061"/>
    <w:rsid w:val="00744634"/>
    <w:rsid w:val="00746D24"/>
    <w:rsid w:val="0074793D"/>
    <w:rsid w:val="007502E5"/>
    <w:rsid w:val="00750A0A"/>
    <w:rsid w:val="00754C0B"/>
    <w:rsid w:val="00756745"/>
    <w:rsid w:val="00762E4E"/>
    <w:rsid w:val="00763045"/>
    <w:rsid w:val="00763222"/>
    <w:rsid w:val="007632FD"/>
    <w:rsid w:val="00764C0D"/>
    <w:rsid w:val="0076601E"/>
    <w:rsid w:val="00770370"/>
    <w:rsid w:val="00771E3E"/>
    <w:rsid w:val="00774250"/>
    <w:rsid w:val="00774796"/>
    <w:rsid w:val="0077672E"/>
    <w:rsid w:val="00783069"/>
    <w:rsid w:val="007933BB"/>
    <w:rsid w:val="007948E2"/>
    <w:rsid w:val="00797710"/>
    <w:rsid w:val="007A0E63"/>
    <w:rsid w:val="007A3A44"/>
    <w:rsid w:val="007A4CD3"/>
    <w:rsid w:val="007A4D62"/>
    <w:rsid w:val="007A6943"/>
    <w:rsid w:val="007C0C17"/>
    <w:rsid w:val="007C16DE"/>
    <w:rsid w:val="007C486C"/>
    <w:rsid w:val="007C77AE"/>
    <w:rsid w:val="007C77BF"/>
    <w:rsid w:val="007D1CAB"/>
    <w:rsid w:val="007D20C7"/>
    <w:rsid w:val="007D224B"/>
    <w:rsid w:val="007D24C5"/>
    <w:rsid w:val="007D4D11"/>
    <w:rsid w:val="007D7379"/>
    <w:rsid w:val="007E21D6"/>
    <w:rsid w:val="007E400E"/>
    <w:rsid w:val="007F03B2"/>
    <w:rsid w:val="007F0934"/>
    <w:rsid w:val="007F12A8"/>
    <w:rsid w:val="007F4BAE"/>
    <w:rsid w:val="008004D4"/>
    <w:rsid w:val="00802623"/>
    <w:rsid w:val="0080565E"/>
    <w:rsid w:val="008065F4"/>
    <w:rsid w:val="00810FE4"/>
    <w:rsid w:val="008179C6"/>
    <w:rsid w:val="00823736"/>
    <w:rsid w:val="00826E24"/>
    <w:rsid w:val="008311B2"/>
    <w:rsid w:val="00832819"/>
    <w:rsid w:val="00833800"/>
    <w:rsid w:val="00833A40"/>
    <w:rsid w:val="00833FEC"/>
    <w:rsid w:val="008356C7"/>
    <w:rsid w:val="00840A1F"/>
    <w:rsid w:val="0084251A"/>
    <w:rsid w:val="00842C80"/>
    <w:rsid w:val="00843394"/>
    <w:rsid w:val="00843FBA"/>
    <w:rsid w:val="0085126D"/>
    <w:rsid w:val="008514B2"/>
    <w:rsid w:val="00854C4A"/>
    <w:rsid w:val="00865802"/>
    <w:rsid w:val="00867CFB"/>
    <w:rsid w:val="008700CF"/>
    <w:rsid w:val="008705BE"/>
    <w:rsid w:val="00870B52"/>
    <w:rsid w:val="008710CA"/>
    <w:rsid w:val="0087161B"/>
    <w:rsid w:val="00874A6F"/>
    <w:rsid w:val="00874ED4"/>
    <w:rsid w:val="0087507D"/>
    <w:rsid w:val="0088052C"/>
    <w:rsid w:val="00884233"/>
    <w:rsid w:val="00884612"/>
    <w:rsid w:val="00884DD1"/>
    <w:rsid w:val="008878DE"/>
    <w:rsid w:val="00887936"/>
    <w:rsid w:val="00892861"/>
    <w:rsid w:val="00896CDB"/>
    <w:rsid w:val="00896E10"/>
    <w:rsid w:val="008A0D1B"/>
    <w:rsid w:val="008A245E"/>
    <w:rsid w:val="008A3958"/>
    <w:rsid w:val="008A7CA3"/>
    <w:rsid w:val="008B0768"/>
    <w:rsid w:val="008B1920"/>
    <w:rsid w:val="008B2FCF"/>
    <w:rsid w:val="008B4D54"/>
    <w:rsid w:val="008B4ED4"/>
    <w:rsid w:val="008B5129"/>
    <w:rsid w:val="008B5645"/>
    <w:rsid w:val="008B5C21"/>
    <w:rsid w:val="008B7483"/>
    <w:rsid w:val="008B7A91"/>
    <w:rsid w:val="008C3301"/>
    <w:rsid w:val="008C4558"/>
    <w:rsid w:val="008C4FCB"/>
    <w:rsid w:val="008C5E5B"/>
    <w:rsid w:val="008D2EE4"/>
    <w:rsid w:val="008D756F"/>
    <w:rsid w:val="008E154F"/>
    <w:rsid w:val="008E5D66"/>
    <w:rsid w:val="008E699C"/>
    <w:rsid w:val="008E705E"/>
    <w:rsid w:val="008F3E21"/>
    <w:rsid w:val="008F6847"/>
    <w:rsid w:val="008F6F25"/>
    <w:rsid w:val="00901242"/>
    <w:rsid w:val="0090548D"/>
    <w:rsid w:val="00907636"/>
    <w:rsid w:val="0091000A"/>
    <w:rsid w:val="00911F77"/>
    <w:rsid w:val="00915B24"/>
    <w:rsid w:val="00920E97"/>
    <w:rsid w:val="00923801"/>
    <w:rsid w:val="009238C6"/>
    <w:rsid w:val="00924CDE"/>
    <w:rsid w:val="009317A2"/>
    <w:rsid w:val="0093213C"/>
    <w:rsid w:val="00935263"/>
    <w:rsid w:val="00940EC2"/>
    <w:rsid w:val="009468B6"/>
    <w:rsid w:val="0094779F"/>
    <w:rsid w:val="00950908"/>
    <w:rsid w:val="0095125E"/>
    <w:rsid w:val="00957ABF"/>
    <w:rsid w:val="0096012C"/>
    <w:rsid w:val="009619F9"/>
    <w:rsid w:val="00963121"/>
    <w:rsid w:val="009647F9"/>
    <w:rsid w:val="00965BE2"/>
    <w:rsid w:val="009667A6"/>
    <w:rsid w:val="0096736B"/>
    <w:rsid w:val="00970189"/>
    <w:rsid w:val="009710BE"/>
    <w:rsid w:val="00974595"/>
    <w:rsid w:val="009775DA"/>
    <w:rsid w:val="0098403A"/>
    <w:rsid w:val="00985643"/>
    <w:rsid w:val="00987C14"/>
    <w:rsid w:val="0099506F"/>
    <w:rsid w:val="009A275D"/>
    <w:rsid w:val="009A34A0"/>
    <w:rsid w:val="009A3EF3"/>
    <w:rsid w:val="009A68F6"/>
    <w:rsid w:val="009A6F77"/>
    <w:rsid w:val="009A7375"/>
    <w:rsid w:val="009A7651"/>
    <w:rsid w:val="009A7885"/>
    <w:rsid w:val="009B1B59"/>
    <w:rsid w:val="009B6833"/>
    <w:rsid w:val="009B6844"/>
    <w:rsid w:val="009C24C2"/>
    <w:rsid w:val="009C262A"/>
    <w:rsid w:val="009C326C"/>
    <w:rsid w:val="009C50C6"/>
    <w:rsid w:val="009D1BB4"/>
    <w:rsid w:val="009D42C2"/>
    <w:rsid w:val="009D55FB"/>
    <w:rsid w:val="009D60D1"/>
    <w:rsid w:val="009D69A8"/>
    <w:rsid w:val="009D6AE3"/>
    <w:rsid w:val="009D6DA2"/>
    <w:rsid w:val="009E1052"/>
    <w:rsid w:val="009E7D11"/>
    <w:rsid w:val="009F1139"/>
    <w:rsid w:val="009F4DAE"/>
    <w:rsid w:val="00A007A0"/>
    <w:rsid w:val="00A06955"/>
    <w:rsid w:val="00A10532"/>
    <w:rsid w:val="00A16A9E"/>
    <w:rsid w:val="00A20DB6"/>
    <w:rsid w:val="00A211EC"/>
    <w:rsid w:val="00A21339"/>
    <w:rsid w:val="00A23B1F"/>
    <w:rsid w:val="00A332C9"/>
    <w:rsid w:val="00A37EC9"/>
    <w:rsid w:val="00A40FBF"/>
    <w:rsid w:val="00A47441"/>
    <w:rsid w:val="00A5181A"/>
    <w:rsid w:val="00A60C78"/>
    <w:rsid w:val="00A60F02"/>
    <w:rsid w:val="00A6160B"/>
    <w:rsid w:val="00A63805"/>
    <w:rsid w:val="00A656D7"/>
    <w:rsid w:val="00A70096"/>
    <w:rsid w:val="00A719B4"/>
    <w:rsid w:val="00A75818"/>
    <w:rsid w:val="00A76B4F"/>
    <w:rsid w:val="00A77CA0"/>
    <w:rsid w:val="00A80573"/>
    <w:rsid w:val="00A932F6"/>
    <w:rsid w:val="00A93F86"/>
    <w:rsid w:val="00A94453"/>
    <w:rsid w:val="00A97BAB"/>
    <w:rsid w:val="00A97CD5"/>
    <w:rsid w:val="00AA33CB"/>
    <w:rsid w:val="00AB4667"/>
    <w:rsid w:val="00AB5E0E"/>
    <w:rsid w:val="00AB68E1"/>
    <w:rsid w:val="00AC0773"/>
    <w:rsid w:val="00AC101A"/>
    <w:rsid w:val="00AC2494"/>
    <w:rsid w:val="00AC423F"/>
    <w:rsid w:val="00AC4D90"/>
    <w:rsid w:val="00AC5A4B"/>
    <w:rsid w:val="00AD1315"/>
    <w:rsid w:val="00AD39F6"/>
    <w:rsid w:val="00AD6A94"/>
    <w:rsid w:val="00AE1793"/>
    <w:rsid w:val="00AE4001"/>
    <w:rsid w:val="00AE64A1"/>
    <w:rsid w:val="00AE66B2"/>
    <w:rsid w:val="00AF06C7"/>
    <w:rsid w:val="00AF0832"/>
    <w:rsid w:val="00AF563E"/>
    <w:rsid w:val="00AF605E"/>
    <w:rsid w:val="00AF7FA8"/>
    <w:rsid w:val="00B044E7"/>
    <w:rsid w:val="00B05C39"/>
    <w:rsid w:val="00B1120D"/>
    <w:rsid w:val="00B17B22"/>
    <w:rsid w:val="00B17DD6"/>
    <w:rsid w:val="00B21956"/>
    <w:rsid w:val="00B26047"/>
    <w:rsid w:val="00B2671D"/>
    <w:rsid w:val="00B30AD1"/>
    <w:rsid w:val="00B32DC9"/>
    <w:rsid w:val="00B42D2F"/>
    <w:rsid w:val="00B4559C"/>
    <w:rsid w:val="00B507E8"/>
    <w:rsid w:val="00B530A2"/>
    <w:rsid w:val="00B54477"/>
    <w:rsid w:val="00B5480A"/>
    <w:rsid w:val="00B55864"/>
    <w:rsid w:val="00B57022"/>
    <w:rsid w:val="00B639CA"/>
    <w:rsid w:val="00B64578"/>
    <w:rsid w:val="00B676BC"/>
    <w:rsid w:val="00B704EF"/>
    <w:rsid w:val="00B723BF"/>
    <w:rsid w:val="00B755BE"/>
    <w:rsid w:val="00B82F9E"/>
    <w:rsid w:val="00B8337D"/>
    <w:rsid w:val="00B8371D"/>
    <w:rsid w:val="00B83DDF"/>
    <w:rsid w:val="00B86482"/>
    <w:rsid w:val="00B8657F"/>
    <w:rsid w:val="00B875BC"/>
    <w:rsid w:val="00B93B99"/>
    <w:rsid w:val="00B9409D"/>
    <w:rsid w:val="00B96A22"/>
    <w:rsid w:val="00BA088D"/>
    <w:rsid w:val="00BA5506"/>
    <w:rsid w:val="00BB4505"/>
    <w:rsid w:val="00BB6E68"/>
    <w:rsid w:val="00BB71B7"/>
    <w:rsid w:val="00BB7DAB"/>
    <w:rsid w:val="00BC2C55"/>
    <w:rsid w:val="00BC3701"/>
    <w:rsid w:val="00BD2456"/>
    <w:rsid w:val="00BD3DA4"/>
    <w:rsid w:val="00BD77BF"/>
    <w:rsid w:val="00BD7A18"/>
    <w:rsid w:val="00BE24EF"/>
    <w:rsid w:val="00BE264B"/>
    <w:rsid w:val="00BE2DC9"/>
    <w:rsid w:val="00BE3282"/>
    <w:rsid w:val="00BE4C33"/>
    <w:rsid w:val="00BE7650"/>
    <w:rsid w:val="00BF17A7"/>
    <w:rsid w:val="00BF413D"/>
    <w:rsid w:val="00BF7697"/>
    <w:rsid w:val="00C0491F"/>
    <w:rsid w:val="00C04A6D"/>
    <w:rsid w:val="00C071D8"/>
    <w:rsid w:val="00C11A83"/>
    <w:rsid w:val="00C20258"/>
    <w:rsid w:val="00C21B01"/>
    <w:rsid w:val="00C244DB"/>
    <w:rsid w:val="00C272E6"/>
    <w:rsid w:val="00C3173E"/>
    <w:rsid w:val="00C3321C"/>
    <w:rsid w:val="00C358C4"/>
    <w:rsid w:val="00C35DF6"/>
    <w:rsid w:val="00C365C7"/>
    <w:rsid w:val="00C40AE6"/>
    <w:rsid w:val="00C4394D"/>
    <w:rsid w:val="00C5426F"/>
    <w:rsid w:val="00C5499E"/>
    <w:rsid w:val="00C55125"/>
    <w:rsid w:val="00C604B5"/>
    <w:rsid w:val="00C642EE"/>
    <w:rsid w:val="00C71EE9"/>
    <w:rsid w:val="00C75AA5"/>
    <w:rsid w:val="00C808B3"/>
    <w:rsid w:val="00C8098B"/>
    <w:rsid w:val="00C818B5"/>
    <w:rsid w:val="00C85BB0"/>
    <w:rsid w:val="00C87C16"/>
    <w:rsid w:val="00C91C4C"/>
    <w:rsid w:val="00C94679"/>
    <w:rsid w:val="00C94802"/>
    <w:rsid w:val="00CA0AAC"/>
    <w:rsid w:val="00CA0FEE"/>
    <w:rsid w:val="00CA40A4"/>
    <w:rsid w:val="00CA57F4"/>
    <w:rsid w:val="00CA6202"/>
    <w:rsid w:val="00CA676D"/>
    <w:rsid w:val="00CA7800"/>
    <w:rsid w:val="00CB1CA3"/>
    <w:rsid w:val="00CB669A"/>
    <w:rsid w:val="00CC0479"/>
    <w:rsid w:val="00CC2D7D"/>
    <w:rsid w:val="00CC6B16"/>
    <w:rsid w:val="00CC7CA3"/>
    <w:rsid w:val="00CD184E"/>
    <w:rsid w:val="00CD1CC4"/>
    <w:rsid w:val="00CD2915"/>
    <w:rsid w:val="00CD3EF9"/>
    <w:rsid w:val="00CD5763"/>
    <w:rsid w:val="00CD6590"/>
    <w:rsid w:val="00CD6C7D"/>
    <w:rsid w:val="00CD75EE"/>
    <w:rsid w:val="00CE215E"/>
    <w:rsid w:val="00CE335D"/>
    <w:rsid w:val="00CE6751"/>
    <w:rsid w:val="00CE7DB0"/>
    <w:rsid w:val="00CF1701"/>
    <w:rsid w:val="00CF1CCA"/>
    <w:rsid w:val="00D02E5C"/>
    <w:rsid w:val="00D07EAE"/>
    <w:rsid w:val="00D11042"/>
    <w:rsid w:val="00D20026"/>
    <w:rsid w:val="00D25C82"/>
    <w:rsid w:val="00D27040"/>
    <w:rsid w:val="00D32499"/>
    <w:rsid w:val="00D343E4"/>
    <w:rsid w:val="00D351BB"/>
    <w:rsid w:val="00D37A0A"/>
    <w:rsid w:val="00D414E2"/>
    <w:rsid w:val="00D45F18"/>
    <w:rsid w:val="00D4629D"/>
    <w:rsid w:val="00D507E2"/>
    <w:rsid w:val="00D51838"/>
    <w:rsid w:val="00D61877"/>
    <w:rsid w:val="00D67D35"/>
    <w:rsid w:val="00D75CFA"/>
    <w:rsid w:val="00D80055"/>
    <w:rsid w:val="00D8550A"/>
    <w:rsid w:val="00D875CC"/>
    <w:rsid w:val="00D9001E"/>
    <w:rsid w:val="00D91637"/>
    <w:rsid w:val="00D91FDF"/>
    <w:rsid w:val="00D9368A"/>
    <w:rsid w:val="00D944C9"/>
    <w:rsid w:val="00D94FCB"/>
    <w:rsid w:val="00D95243"/>
    <w:rsid w:val="00D964AA"/>
    <w:rsid w:val="00D96BAD"/>
    <w:rsid w:val="00D96D3B"/>
    <w:rsid w:val="00D97735"/>
    <w:rsid w:val="00D97C59"/>
    <w:rsid w:val="00DA4B05"/>
    <w:rsid w:val="00DA4D92"/>
    <w:rsid w:val="00DA5B41"/>
    <w:rsid w:val="00DA6A24"/>
    <w:rsid w:val="00DA7025"/>
    <w:rsid w:val="00DA7A51"/>
    <w:rsid w:val="00DB06B9"/>
    <w:rsid w:val="00DB47EF"/>
    <w:rsid w:val="00DB719F"/>
    <w:rsid w:val="00DC255C"/>
    <w:rsid w:val="00DC538B"/>
    <w:rsid w:val="00DC6C8A"/>
    <w:rsid w:val="00DD4208"/>
    <w:rsid w:val="00DD4A0D"/>
    <w:rsid w:val="00DE1424"/>
    <w:rsid w:val="00DE1E49"/>
    <w:rsid w:val="00DE5980"/>
    <w:rsid w:val="00DF006D"/>
    <w:rsid w:val="00DF21B1"/>
    <w:rsid w:val="00DF4686"/>
    <w:rsid w:val="00DF5CF7"/>
    <w:rsid w:val="00DF7F21"/>
    <w:rsid w:val="00E00F98"/>
    <w:rsid w:val="00E037AB"/>
    <w:rsid w:val="00E0447D"/>
    <w:rsid w:val="00E04E83"/>
    <w:rsid w:val="00E104FB"/>
    <w:rsid w:val="00E16E56"/>
    <w:rsid w:val="00E16FA0"/>
    <w:rsid w:val="00E17209"/>
    <w:rsid w:val="00E25909"/>
    <w:rsid w:val="00E25F08"/>
    <w:rsid w:val="00E30CF4"/>
    <w:rsid w:val="00E32880"/>
    <w:rsid w:val="00E3404A"/>
    <w:rsid w:val="00E34868"/>
    <w:rsid w:val="00E34AD4"/>
    <w:rsid w:val="00E34CF4"/>
    <w:rsid w:val="00E35131"/>
    <w:rsid w:val="00E37F01"/>
    <w:rsid w:val="00E401B3"/>
    <w:rsid w:val="00E42519"/>
    <w:rsid w:val="00E426C3"/>
    <w:rsid w:val="00E43CAB"/>
    <w:rsid w:val="00E45D3B"/>
    <w:rsid w:val="00E45D7B"/>
    <w:rsid w:val="00E54412"/>
    <w:rsid w:val="00E547A4"/>
    <w:rsid w:val="00E54DD9"/>
    <w:rsid w:val="00E56297"/>
    <w:rsid w:val="00E56752"/>
    <w:rsid w:val="00E57331"/>
    <w:rsid w:val="00E67129"/>
    <w:rsid w:val="00E679B1"/>
    <w:rsid w:val="00E71910"/>
    <w:rsid w:val="00E726F7"/>
    <w:rsid w:val="00E72884"/>
    <w:rsid w:val="00E74067"/>
    <w:rsid w:val="00E74C48"/>
    <w:rsid w:val="00E76BDA"/>
    <w:rsid w:val="00E833E3"/>
    <w:rsid w:val="00E84180"/>
    <w:rsid w:val="00E85B17"/>
    <w:rsid w:val="00E86D82"/>
    <w:rsid w:val="00E90292"/>
    <w:rsid w:val="00E90715"/>
    <w:rsid w:val="00E932A4"/>
    <w:rsid w:val="00E96C06"/>
    <w:rsid w:val="00EA06F7"/>
    <w:rsid w:val="00EA0A7B"/>
    <w:rsid w:val="00EA142D"/>
    <w:rsid w:val="00EA14CE"/>
    <w:rsid w:val="00EA441F"/>
    <w:rsid w:val="00EB1C39"/>
    <w:rsid w:val="00EB1C5E"/>
    <w:rsid w:val="00EB62C4"/>
    <w:rsid w:val="00EB69F0"/>
    <w:rsid w:val="00EB7D86"/>
    <w:rsid w:val="00EC16FA"/>
    <w:rsid w:val="00EC1978"/>
    <w:rsid w:val="00EC23F2"/>
    <w:rsid w:val="00EC5519"/>
    <w:rsid w:val="00EC5E55"/>
    <w:rsid w:val="00EC5EE6"/>
    <w:rsid w:val="00EC70D0"/>
    <w:rsid w:val="00EC7DC6"/>
    <w:rsid w:val="00ED015E"/>
    <w:rsid w:val="00ED2F6A"/>
    <w:rsid w:val="00ED3E5B"/>
    <w:rsid w:val="00ED4C5F"/>
    <w:rsid w:val="00EE0048"/>
    <w:rsid w:val="00EE19A2"/>
    <w:rsid w:val="00EE2201"/>
    <w:rsid w:val="00EE45FC"/>
    <w:rsid w:val="00EE7CA8"/>
    <w:rsid w:val="00EF1323"/>
    <w:rsid w:val="00EF24F9"/>
    <w:rsid w:val="00EF2935"/>
    <w:rsid w:val="00EF5E38"/>
    <w:rsid w:val="00EF7592"/>
    <w:rsid w:val="00F000CE"/>
    <w:rsid w:val="00F0055D"/>
    <w:rsid w:val="00F00D49"/>
    <w:rsid w:val="00F01993"/>
    <w:rsid w:val="00F044CC"/>
    <w:rsid w:val="00F04644"/>
    <w:rsid w:val="00F14ABF"/>
    <w:rsid w:val="00F14B68"/>
    <w:rsid w:val="00F15CBC"/>
    <w:rsid w:val="00F16031"/>
    <w:rsid w:val="00F24920"/>
    <w:rsid w:val="00F27705"/>
    <w:rsid w:val="00F30CFF"/>
    <w:rsid w:val="00F30ECE"/>
    <w:rsid w:val="00F32DD1"/>
    <w:rsid w:val="00F35624"/>
    <w:rsid w:val="00F36110"/>
    <w:rsid w:val="00F367BE"/>
    <w:rsid w:val="00F442E9"/>
    <w:rsid w:val="00F448DE"/>
    <w:rsid w:val="00F50CA0"/>
    <w:rsid w:val="00F53F98"/>
    <w:rsid w:val="00F55BFD"/>
    <w:rsid w:val="00F640FE"/>
    <w:rsid w:val="00F70459"/>
    <w:rsid w:val="00F70B08"/>
    <w:rsid w:val="00F73406"/>
    <w:rsid w:val="00F74D84"/>
    <w:rsid w:val="00F76014"/>
    <w:rsid w:val="00F82FC4"/>
    <w:rsid w:val="00F84479"/>
    <w:rsid w:val="00F862D0"/>
    <w:rsid w:val="00F86478"/>
    <w:rsid w:val="00F8725D"/>
    <w:rsid w:val="00FA081D"/>
    <w:rsid w:val="00FA0AA5"/>
    <w:rsid w:val="00FA23D4"/>
    <w:rsid w:val="00FB0277"/>
    <w:rsid w:val="00FB12FA"/>
    <w:rsid w:val="00FB18D6"/>
    <w:rsid w:val="00FB2766"/>
    <w:rsid w:val="00FB2B09"/>
    <w:rsid w:val="00FB302D"/>
    <w:rsid w:val="00FB3580"/>
    <w:rsid w:val="00FB55D4"/>
    <w:rsid w:val="00FC2754"/>
    <w:rsid w:val="00FD22E7"/>
    <w:rsid w:val="00FD2507"/>
    <w:rsid w:val="00FD35BF"/>
    <w:rsid w:val="00FE02C4"/>
    <w:rsid w:val="00FE379A"/>
    <w:rsid w:val="00FE5FB6"/>
    <w:rsid w:val="00FE6857"/>
    <w:rsid w:val="00FF25FA"/>
    <w:rsid w:val="00FF2E45"/>
    <w:rsid w:val="00FF470D"/>
    <w:rsid w:val="00FF73C5"/>
    <w:rsid w:val="00FF7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55"/>
    <w:rPr>
      <w:sz w:val="24"/>
      <w:szCs w:val="24"/>
    </w:rPr>
  </w:style>
  <w:style w:type="paragraph" w:styleId="Heading1">
    <w:name w:val="heading 1"/>
    <w:basedOn w:val="Normal"/>
    <w:next w:val="Normal"/>
    <w:qFormat/>
    <w:rsid w:val="00EC5E55"/>
    <w:pPr>
      <w:keepNext/>
      <w:outlineLvl w:val="0"/>
    </w:pPr>
    <w:rPr>
      <w:b/>
      <w:bCs/>
      <w:sz w:val="22"/>
    </w:rPr>
  </w:style>
  <w:style w:type="paragraph" w:styleId="Heading2">
    <w:name w:val="heading 2"/>
    <w:basedOn w:val="Normal"/>
    <w:next w:val="Normal"/>
    <w:qFormat/>
    <w:rsid w:val="002041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5E55"/>
    <w:pPr>
      <w:keepNext/>
      <w:jc w:val="center"/>
      <w:outlineLvl w:val="2"/>
    </w:pPr>
    <w:rPr>
      <w:rFonts w:ascii="Arial" w:hAnsi="Arial" w:cs="Arial"/>
      <w:b/>
      <w:bCs/>
      <w:color w:val="B68600"/>
      <w:sz w:val="16"/>
    </w:rPr>
  </w:style>
  <w:style w:type="paragraph" w:styleId="Heading4">
    <w:name w:val="heading 4"/>
    <w:basedOn w:val="Normal"/>
    <w:next w:val="Normal"/>
    <w:qFormat/>
    <w:rsid w:val="00206551"/>
    <w:pPr>
      <w:keepNext/>
      <w:spacing w:before="240" w:after="60"/>
      <w:outlineLvl w:val="3"/>
    </w:pPr>
    <w:rPr>
      <w:b/>
      <w:bCs/>
      <w:sz w:val="28"/>
      <w:szCs w:val="28"/>
    </w:rPr>
  </w:style>
  <w:style w:type="paragraph" w:styleId="Heading5">
    <w:name w:val="heading 5"/>
    <w:basedOn w:val="Normal"/>
    <w:next w:val="Normal"/>
    <w:link w:val="Heading5Char"/>
    <w:qFormat/>
    <w:rsid w:val="006F75C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5E55"/>
    <w:rPr>
      <w:sz w:val="22"/>
    </w:rPr>
  </w:style>
  <w:style w:type="paragraph" w:styleId="BodyText2">
    <w:name w:val="Body Text 2"/>
    <w:basedOn w:val="Normal"/>
    <w:rsid w:val="00EC5E55"/>
    <w:pPr>
      <w:jc w:val="both"/>
    </w:pPr>
    <w:rPr>
      <w:sz w:val="22"/>
    </w:rPr>
  </w:style>
  <w:style w:type="paragraph" w:styleId="BodyTextIndent3">
    <w:name w:val="Body Text Indent 3"/>
    <w:basedOn w:val="Normal"/>
    <w:rsid w:val="00EC1978"/>
    <w:pPr>
      <w:spacing w:after="120"/>
      <w:ind w:left="360"/>
    </w:pPr>
    <w:rPr>
      <w:sz w:val="16"/>
      <w:szCs w:val="16"/>
    </w:rPr>
  </w:style>
  <w:style w:type="paragraph" w:styleId="BodyTextIndent2">
    <w:name w:val="Body Text Indent 2"/>
    <w:basedOn w:val="Normal"/>
    <w:rsid w:val="0020414D"/>
    <w:pPr>
      <w:spacing w:after="120" w:line="480" w:lineRule="auto"/>
      <w:ind w:left="360"/>
    </w:pPr>
  </w:style>
  <w:style w:type="paragraph" w:styleId="Footer">
    <w:name w:val="footer"/>
    <w:basedOn w:val="Normal"/>
    <w:link w:val="FooterChar"/>
    <w:uiPriority w:val="99"/>
    <w:rsid w:val="008F6F25"/>
    <w:pPr>
      <w:tabs>
        <w:tab w:val="center" w:pos="4320"/>
        <w:tab w:val="right" w:pos="8640"/>
      </w:tabs>
    </w:pPr>
  </w:style>
  <w:style w:type="character" w:styleId="PageNumber">
    <w:name w:val="page number"/>
    <w:basedOn w:val="DefaultParagraphFont"/>
    <w:rsid w:val="008F6F25"/>
  </w:style>
  <w:style w:type="paragraph" w:styleId="BodyTextIndent">
    <w:name w:val="Body Text Indent"/>
    <w:basedOn w:val="Normal"/>
    <w:rsid w:val="00C87C16"/>
    <w:pPr>
      <w:spacing w:after="120"/>
      <w:ind w:left="360"/>
    </w:pPr>
  </w:style>
  <w:style w:type="paragraph" w:customStyle="1" w:styleId="Default">
    <w:name w:val="Default"/>
    <w:rsid w:val="004D6ECF"/>
    <w:pPr>
      <w:autoSpaceDE w:val="0"/>
      <w:autoSpaceDN w:val="0"/>
      <w:adjustRightInd w:val="0"/>
    </w:pPr>
    <w:rPr>
      <w:rFonts w:ascii="Garamond" w:hAnsi="Garamond" w:cs="Garamond"/>
      <w:color w:val="000000"/>
      <w:sz w:val="24"/>
      <w:szCs w:val="24"/>
    </w:rPr>
  </w:style>
  <w:style w:type="paragraph" w:styleId="NormalWeb">
    <w:name w:val="Normal (Web)"/>
    <w:basedOn w:val="Normal"/>
    <w:rsid w:val="00F53F98"/>
    <w:pPr>
      <w:spacing w:before="100" w:beforeAutospacing="1" w:after="100" w:afterAutospacing="1"/>
    </w:pPr>
    <w:rPr>
      <w:rFonts w:ascii="Arial Unicode MS" w:eastAsia="Arial Unicode MS" w:hAnsi="Arial Unicode MS" w:cs="Arial Unicode MS"/>
    </w:rPr>
  </w:style>
  <w:style w:type="paragraph" w:customStyle="1" w:styleId="Style1">
    <w:name w:val="Style 1"/>
    <w:basedOn w:val="Normal"/>
    <w:rsid w:val="00F53F98"/>
    <w:pPr>
      <w:widowControl w:val="0"/>
      <w:autoSpaceDE w:val="0"/>
      <w:autoSpaceDN w:val="0"/>
      <w:adjustRightInd w:val="0"/>
    </w:pPr>
    <w:rPr>
      <w:sz w:val="20"/>
    </w:rPr>
  </w:style>
  <w:style w:type="paragraph" w:styleId="EndnoteText">
    <w:name w:val="endnote text"/>
    <w:basedOn w:val="Normal"/>
    <w:semiHidden/>
    <w:rsid w:val="00F53F98"/>
    <w:rPr>
      <w:rFonts w:ascii="Helv 10pt" w:hAnsi="Helv 10pt"/>
      <w:szCs w:val="20"/>
    </w:rPr>
  </w:style>
  <w:style w:type="paragraph" w:customStyle="1" w:styleId="Normal95pt">
    <w:name w:val="Normal + 9.5 pt"/>
    <w:basedOn w:val="Normal"/>
    <w:rsid w:val="00F53F98"/>
    <w:pPr>
      <w:widowControl w:val="0"/>
      <w:autoSpaceDE w:val="0"/>
      <w:autoSpaceDN w:val="0"/>
      <w:spacing w:before="120" w:after="120" w:line="250" w:lineRule="atLeast"/>
      <w:jc w:val="both"/>
    </w:pPr>
    <w:rPr>
      <w:spacing w:val="-2"/>
      <w:sz w:val="19"/>
      <w:szCs w:val="19"/>
      <w:lang w:val="en-GB"/>
    </w:rPr>
  </w:style>
  <w:style w:type="paragraph" w:styleId="Header">
    <w:name w:val="header"/>
    <w:basedOn w:val="Normal"/>
    <w:link w:val="HeaderChar"/>
    <w:uiPriority w:val="99"/>
    <w:semiHidden/>
    <w:unhideWhenUsed/>
    <w:rsid w:val="0019369F"/>
    <w:pPr>
      <w:tabs>
        <w:tab w:val="center" w:pos="4680"/>
        <w:tab w:val="right" w:pos="9360"/>
      </w:tabs>
    </w:pPr>
  </w:style>
  <w:style w:type="character" w:customStyle="1" w:styleId="HeaderChar">
    <w:name w:val="Header Char"/>
    <w:basedOn w:val="DefaultParagraphFont"/>
    <w:link w:val="Header"/>
    <w:uiPriority w:val="99"/>
    <w:semiHidden/>
    <w:rsid w:val="0019369F"/>
    <w:rPr>
      <w:sz w:val="24"/>
      <w:szCs w:val="24"/>
    </w:rPr>
  </w:style>
  <w:style w:type="table" w:styleId="TableGrid">
    <w:name w:val="Table Grid"/>
    <w:basedOn w:val="TableNormal"/>
    <w:uiPriority w:val="59"/>
    <w:rsid w:val="002872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74796"/>
    <w:pPr>
      <w:ind w:left="720"/>
      <w:contextualSpacing/>
    </w:pPr>
  </w:style>
  <w:style w:type="character" w:customStyle="1" w:styleId="Heading5Char">
    <w:name w:val="Heading 5 Char"/>
    <w:basedOn w:val="DefaultParagraphFont"/>
    <w:link w:val="Heading5"/>
    <w:rsid w:val="001464E3"/>
    <w:rPr>
      <w:b/>
      <w:bCs/>
      <w:i/>
      <w:iCs/>
      <w:sz w:val="26"/>
      <w:szCs w:val="26"/>
    </w:rPr>
  </w:style>
  <w:style w:type="character" w:customStyle="1" w:styleId="FooterChar">
    <w:name w:val="Footer Char"/>
    <w:basedOn w:val="DefaultParagraphFont"/>
    <w:link w:val="Footer"/>
    <w:uiPriority w:val="99"/>
    <w:rsid w:val="00A944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55"/>
    <w:rPr>
      <w:sz w:val="24"/>
      <w:szCs w:val="24"/>
    </w:rPr>
  </w:style>
  <w:style w:type="paragraph" w:styleId="Heading1">
    <w:name w:val="heading 1"/>
    <w:basedOn w:val="Normal"/>
    <w:next w:val="Normal"/>
    <w:qFormat/>
    <w:rsid w:val="00EC5E55"/>
    <w:pPr>
      <w:keepNext/>
      <w:outlineLvl w:val="0"/>
    </w:pPr>
    <w:rPr>
      <w:b/>
      <w:bCs/>
      <w:sz w:val="22"/>
    </w:rPr>
  </w:style>
  <w:style w:type="paragraph" w:styleId="Heading2">
    <w:name w:val="heading 2"/>
    <w:basedOn w:val="Normal"/>
    <w:next w:val="Normal"/>
    <w:qFormat/>
    <w:rsid w:val="002041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5E55"/>
    <w:pPr>
      <w:keepNext/>
      <w:jc w:val="center"/>
      <w:outlineLvl w:val="2"/>
    </w:pPr>
    <w:rPr>
      <w:rFonts w:ascii="Arial" w:hAnsi="Arial" w:cs="Arial"/>
      <w:b/>
      <w:bCs/>
      <w:color w:val="B68600"/>
      <w:sz w:val="16"/>
    </w:rPr>
  </w:style>
  <w:style w:type="paragraph" w:styleId="Heading4">
    <w:name w:val="heading 4"/>
    <w:basedOn w:val="Normal"/>
    <w:next w:val="Normal"/>
    <w:qFormat/>
    <w:rsid w:val="00206551"/>
    <w:pPr>
      <w:keepNext/>
      <w:spacing w:before="240" w:after="60"/>
      <w:outlineLvl w:val="3"/>
    </w:pPr>
    <w:rPr>
      <w:b/>
      <w:bCs/>
      <w:sz w:val="28"/>
      <w:szCs w:val="28"/>
    </w:rPr>
  </w:style>
  <w:style w:type="paragraph" w:styleId="Heading5">
    <w:name w:val="heading 5"/>
    <w:basedOn w:val="Normal"/>
    <w:next w:val="Normal"/>
    <w:link w:val="Heading5Char"/>
    <w:qFormat/>
    <w:rsid w:val="006F75C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5E55"/>
    <w:rPr>
      <w:sz w:val="22"/>
    </w:rPr>
  </w:style>
  <w:style w:type="paragraph" w:styleId="BodyText2">
    <w:name w:val="Body Text 2"/>
    <w:basedOn w:val="Normal"/>
    <w:rsid w:val="00EC5E55"/>
    <w:pPr>
      <w:jc w:val="both"/>
    </w:pPr>
    <w:rPr>
      <w:sz w:val="22"/>
    </w:rPr>
  </w:style>
  <w:style w:type="paragraph" w:styleId="BodyTextIndent3">
    <w:name w:val="Body Text Indent 3"/>
    <w:basedOn w:val="Normal"/>
    <w:rsid w:val="00EC1978"/>
    <w:pPr>
      <w:spacing w:after="120"/>
      <w:ind w:left="360"/>
    </w:pPr>
    <w:rPr>
      <w:sz w:val="16"/>
      <w:szCs w:val="16"/>
    </w:rPr>
  </w:style>
  <w:style w:type="paragraph" w:styleId="BodyTextIndent2">
    <w:name w:val="Body Text Indent 2"/>
    <w:basedOn w:val="Normal"/>
    <w:rsid w:val="0020414D"/>
    <w:pPr>
      <w:spacing w:after="120" w:line="480" w:lineRule="auto"/>
      <w:ind w:left="360"/>
    </w:pPr>
  </w:style>
  <w:style w:type="paragraph" w:styleId="Footer">
    <w:name w:val="footer"/>
    <w:basedOn w:val="Normal"/>
    <w:link w:val="FooterChar"/>
    <w:uiPriority w:val="99"/>
    <w:rsid w:val="008F6F25"/>
    <w:pPr>
      <w:tabs>
        <w:tab w:val="center" w:pos="4320"/>
        <w:tab w:val="right" w:pos="8640"/>
      </w:tabs>
    </w:pPr>
  </w:style>
  <w:style w:type="character" w:styleId="PageNumber">
    <w:name w:val="page number"/>
    <w:basedOn w:val="DefaultParagraphFont"/>
    <w:rsid w:val="008F6F25"/>
  </w:style>
  <w:style w:type="paragraph" w:styleId="BodyTextIndent">
    <w:name w:val="Body Text Indent"/>
    <w:basedOn w:val="Normal"/>
    <w:rsid w:val="00C87C16"/>
    <w:pPr>
      <w:spacing w:after="120"/>
      <w:ind w:left="360"/>
    </w:pPr>
  </w:style>
  <w:style w:type="paragraph" w:customStyle="1" w:styleId="Default">
    <w:name w:val="Default"/>
    <w:rsid w:val="004D6ECF"/>
    <w:pPr>
      <w:autoSpaceDE w:val="0"/>
      <w:autoSpaceDN w:val="0"/>
      <w:adjustRightInd w:val="0"/>
    </w:pPr>
    <w:rPr>
      <w:rFonts w:ascii="Garamond" w:hAnsi="Garamond" w:cs="Garamond"/>
      <w:color w:val="000000"/>
      <w:sz w:val="24"/>
      <w:szCs w:val="24"/>
    </w:rPr>
  </w:style>
  <w:style w:type="paragraph" w:styleId="NormalWeb">
    <w:name w:val="Normal (Web)"/>
    <w:basedOn w:val="Normal"/>
    <w:rsid w:val="00F53F98"/>
    <w:pPr>
      <w:spacing w:before="100" w:beforeAutospacing="1" w:after="100" w:afterAutospacing="1"/>
    </w:pPr>
    <w:rPr>
      <w:rFonts w:ascii="Arial Unicode MS" w:eastAsia="Arial Unicode MS" w:hAnsi="Arial Unicode MS" w:cs="Arial Unicode MS"/>
    </w:rPr>
  </w:style>
  <w:style w:type="paragraph" w:customStyle="1" w:styleId="Style1">
    <w:name w:val="Style 1"/>
    <w:basedOn w:val="Normal"/>
    <w:rsid w:val="00F53F98"/>
    <w:pPr>
      <w:widowControl w:val="0"/>
      <w:autoSpaceDE w:val="0"/>
      <w:autoSpaceDN w:val="0"/>
      <w:adjustRightInd w:val="0"/>
    </w:pPr>
    <w:rPr>
      <w:sz w:val="20"/>
    </w:rPr>
  </w:style>
  <w:style w:type="paragraph" w:styleId="EndnoteText">
    <w:name w:val="endnote text"/>
    <w:basedOn w:val="Normal"/>
    <w:semiHidden/>
    <w:rsid w:val="00F53F98"/>
    <w:rPr>
      <w:rFonts w:ascii="Helv 10pt" w:hAnsi="Helv 10pt"/>
      <w:szCs w:val="20"/>
    </w:rPr>
  </w:style>
  <w:style w:type="paragraph" w:customStyle="1" w:styleId="Normal95pt">
    <w:name w:val="Normal + 9.5 pt"/>
    <w:basedOn w:val="Normal"/>
    <w:rsid w:val="00F53F98"/>
    <w:pPr>
      <w:widowControl w:val="0"/>
      <w:autoSpaceDE w:val="0"/>
      <w:autoSpaceDN w:val="0"/>
      <w:spacing w:before="120" w:after="120" w:line="250" w:lineRule="atLeast"/>
      <w:jc w:val="both"/>
    </w:pPr>
    <w:rPr>
      <w:spacing w:val="-2"/>
      <w:sz w:val="19"/>
      <w:szCs w:val="19"/>
      <w:lang w:val="en-GB"/>
    </w:rPr>
  </w:style>
  <w:style w:type="paragraph" w:styleId="Header">
    <w:name w:val="header"/>
    <w:basedOn w:val="Normal"/>
    <w:link w:val="HeaderChar"/>
    <w:uiPriority w:val="99"/>
    <w:semiHidden/>
    <w:unhideWhenUsed/>
    <w:rsid w:val="0019369F"/>
    <w:pPr>
      <w:tabs>
        <w:tab w:val="center" w:pos="4680"/>
        <w:tab w:val="right" w:pos="9360"/>
      </w:tabs>
    </w:pPr>
  </w:style>
  <w:style w:type="character" w:customStyle="1" w:styleId="HeaderChar">
    <w:name w:val="Header Char"/>
    <w:basedOn w:val="DefaultParagraphFont"/>
    <w:link w:val="Header"/>
    <w:uiPriority w:val="99"/>
    <w:semiHidden/>
    <w:rsid w:val="0019369F"/>
    <w:rPr>
      <w:sz w:val="24"/>
      <w:szCs w:val="24"/>
    </w:rPr>
  </w:style>
  <w:style w:type="table" w:styleId="TableGrid">
    <w:name w:val="Table Grid"/>
    <w:basedOn w:val="TableNormal"/>
    <w:uiPriority w:val="59"/>
    <w:rsid w:val="002872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74796"/>
    <w:pPr>
      <w:ind w:left="720"/>
      <w:contextualSpacing/>
    </w:pPr>
  </w:style>
  <w:style w:type="character" w:customStyle="1" w:styleId="Heading5Char">
    <w:name w:val="Heading 5 Char"/>
    <w:basedOn w:val="DefaultParagraphFont"/>
    <w:link w:val="Heading5"/>
    <w:rsid w:val="001464E3"/>
    <w:rPr>
      <w:b/>
      <w:bCs/>
      <w:i/>
      <w:iCs/>
      <w:sz w:val="26"/>
      <w:szCs w:val="26"/>
    </w:rPr>
  </w:style>
  <w:style w:type="character" w:customStyle="1" w:styleId="FooterChar">
    <w:name w:val="Footer Char"/>
    <w:basedOn w:val="DefaultParagraphFont"/>
    <w:link w:val="Footer"/>
    <w:uiPriority w:val="99"/>
    <w:rsid w:val="00A94453"/>
    <w:rPr>
      <w:sz w:val="24"/>
      <w:szCs w:val="24"/>
    </w:rPr>
  </w:style>
</w:styles>
</file>

<file path=word/webSettings.xml><?xml version="1.0" encoding="utf-8"?>
<w:webSettings xmlns:r="http://schemas.openxmlformats.org/officeDocument/2006/relationships" xmlns:w="http://schemas.openxmlformats.org/wordprocessingml/2006/main">
  <w:divs>
    <w:div w:id="37364652">
      <w:bodyDiv w:val="1"/>
      <w:marLeft w:val="0"/>
      <w:marRight w:val="0"/>
      <w:marTop w:val="0"/>
      <w:marBottom w:val="0"/>
      <w:divBdr>
        <w:top w:val="none" w:sz="0" w:space="0" w:color="auto"/>
        <w:left w:val="none" w:sz="0" w:space="0" w:color="auto"/>
        <w:bottom w:val="none" w:sz="0" w:space="0" w:color="auto"/>
        <w:right w:val="none" w:sz="0" w:space="0" w:color="auto"/>
      </w:divBdr>
    </w:div>
    <w:div w:id="140855870">
      <w:bodyDiv w:val="1"/>
      <w:marLeft w:val="0"/>
      <w:marRight w:val="0"/>
      <w:marTop w:val="0"/>
      <w:marBottom w:val="0"/>
      <w:divBdr>
        <w:top w:val="none" w:sz="0" w:space="0" w:color="auto"/>
        <w:left w:val="none" w:sz="0" w:space="0" w:color="auto"/>
        <w:bottom w:val="none" w:sz="0" w:space="0" w:color="auto"/>
        <w:right w:val="none" w:sz="0" w:space="0" w:color="auto"/>
      </w:divBdr>
    </w:div>
    <w:div w:id="176505944">
      <w:bodyDiv w:val="1"/>
      <w:marLeft w:val="0"/>
      <w:marRight w:val="0"/>
      <w:marTop w:val="0"/>
      <w:marBottom w:val="0"/>
      <w:divBdr>
        <w:top w:val="none" w:sz="0" w:space="0" w:color="auto"/>
        <w:left w:val="none" w:sz="0" w:space="0" w:color="auto"/>
        <w:bottom w:val="none" w:sz="0" w:space="0" w:color="auto"/>
        <w:right w:val="none" w:sz="0" w:space="0" w:color="auto"/>
      </w:divBdr>
    </w:div>
    <w:div w:id="224415704">
      <w:bodyDiv w:val="1"/>
      <w:marLeft w:val="0"/>
      <w:marRight w:val="0"/>
      <w:marTop w:val="0"/>
      <w:marBottom w:val="0"/>
      <w:divBdr>
        <w:top w:val="none" w:sz="0" w:space="0" w:color="auto"/>
        <w:left w:val="none" w:sz="0" w:space="0" w:color="auto"/>
        <w:bottom w:val="none" w:sz="0" w:space="0" w:color="auto"/>
        <w:right w:val="none" w:sz="0" w:space="0" w:color="auto"/>
      </w:divBdr>
    </w:div>
    <w:div w:id="299237883">
      <w:bodyDiv w:val="1"/>
      <w:marLeft w:val="0"/>
      <w:marRight w:val="0"/>
      <w:marTop w:val="0"/>
      <w:marBottom w:val="0"/>
      <w:divBdr>
        <w:top w:val="none" w:sz="0" w:space="0" w:color="auto"/>
        <w:left w:val="none" w:sz="0" w:space="0" w:color="auto"/>
        <w:bottom w:val="none" w:sz="0" w:space="0" w:color="auto"/>
        <w:right w:val="none" w:sz="0" w:space="0" w:color="auto"/>
      </w:divBdr>
    </w:div>
    <w:div w:id="371463691">
      <w:bodyDiv w:val="1"/>
      <w:marLeft w:val="0"/>
      <w:marRight w:val="0"/>
      <w:marTop w:val="0"/>
      <w:marBottom w:val="0"/>
      <w:divBdr>
        <w:top w:val="none" w:sz="0" w:space="0" w:color="auto"/>
        <w:left w:val="none" w:sz="0" w:space="0" w:color="auto"/>
        <w:bottom w:val="none" w:sz="0" w:space="0" w:color="auto"/>
        <w:right w:val="none" w:sz="0" w:space="0" w:color="auto"/>
      </w:divBdr>
    </w:div>
    <w:div w:id="434793464">
      <w:bodyDiv w:val="1"/>
      <w:marLeft w:val="0"/>
      <w:marRight w:val="0"/>
      <w:marTop w:val="0"/>
      <w:marBottom w:val="0"/>
      <w:divBdr>
        <w:top w:val="none" w:sz="0" w:space="0" w:color="auto"/>
        <w:left w:val="none" w:sz="0" w:space="0" w:color="auto"/>
        <w:bottom w:val="none" w:sz="0" w:space="0" w:color="auto"/>
        <w:right w:val="none" w:sz="0" w:space="0" w:color="auto"/>
      </w:divBdr>
    </w:div>
    <w:div w:id="485633345">
      <w:bodyDiv w:val="1"/>
      <w:marLeft w:val="0"/>
      <w:marRight w:val="0"/>
      <w:marTop w:val="0"/>
      <w:marBottom w:val="0"/>
      <w:divBdr>
        <w:top w:val="none" w:sz="0" w:space="0" w:color="auto"/>
        <w:left w:val="none" w:sz="0" w:space="0" w:color="auto"/>
        <w:bottom w:val="none" w:sz="0" w:space="0" w:color="auto"/>
        <w:right w:val="none" w:sz="0" w:space="0" w:color="auto"/>
      </w:divBdr>
    </w:div>
    <w:div w:id="525364535">
      <w:bodyDiv w:val="1"/>
      <w:marLeft w:val="0"/>
      <w:marRight w:val="0"/>
      <w:marTop w:val="0"/>
      <w:marBottom w:val="0"/>
      <w:divBdr>
        <w:top w:val="none" w:sz="0" w:space="0" w:color="auto"/>
        <w:left w:val="none" w:sz="0" w:space="0" w:color="auto"/>
        <w:bottom w:val="none" w:sz="0" w:space="0" w:color="auto"/>
        <w:right w:val="none" w:sz="0" w:space="0" w:color="auto"/>
      </w:divBdr>
    </w:div>
    <w:div w:id="570700339">
      <w:bodyDiv w:val="1"/>
      <w:marLeft w:val="0"/>
      <w:marRight w:val="0"/>
      <w:marTop w:val="0"/>
      <w:marBottom w:val="0"/>
      <w:divBdr>
        <w:top w:val="none" w:sz="0" w:space="0" w:color="auto"/>
        <w:left w:val="none" w:sz="0" w:space="0" w:color="auto"/>
        <w:bottom w:val="none" w:sz="0" w:space="0" w:color="auto"/>
        <w:right w:val="none" w:sz="0" w:space="0" w:color="auto"/>
      </w:divBdr>
    </w:div>
    <w:div w:id="611016077">
      <w:bodyDiv w:val="1"/>
      <w:marLeft w:val="0"/>
      <w:marRight w:val="0"/>
      <w:marTop w:val="0"/>
      <w:marBottom w:val="0"/>
      <w:divBdr>
        <w:top w:val="none" w:sz="0" w:space="0" w:color="auto"/>
        <w:left w:val="none" w:sz="0" w:space="0" w:color="auto"/>
        <w:bottom w:val="none" w:sz="0" w:space="0" w:color="auto"/>
        <w:right w:val="none" w:sz="0" w:space="0" w:color="auto"/>
      </w:divBdr>
    </w:div>
    <w:div w:id="620190836">
      <w:bodyDiv w:val="1"/>
      <w:marLeft w:val="0"/>
      <w:marRight w:val="0"/>
      <w:marTop w:val="0"/>
      <w:marBottom w:val="0"/>
      <w:divBdr>
        <w:top w:val="none" w:sz="0" w:space="0" w:color="auto"/>
        <w:left w:val="none" w:sz="0" w:space="0" w:color="auto"/>
        <w:bottom w:val="none" w:sz="0" w:space="0" w:color="auto"/>
        <w:right w:val="none" w:sz="0" w:space="0" w:color="auto"/>
      </w:divBdr>
    </w:div>
    <w:div w:id="810175781">
      <w:bodyDiv w:val="1"/>
      <w:marLeft w:val="0"/>
      <w:marRight w:val="0"/>
      <w:marTop w:val="0"/>
      <w:marBottom w:val="0"/>
      <w:divBdr>
        <w:top w:val="none" w:sz="0" w:space="0" w:color="auto"/>
        <w:left w:val="none" w:sz="0" w:space="0" w:color="auto"/>
        <w:bottom w:val="none" w:sz="0" w:space="0" w:color="auto"/>
        <w:right w:val="none" w:sz="0" w:space="0" w:color="auto"/>
      </w:divBdr>
    </w:div>
    <w:div w:id="922026227">
      <w:bodyDiv w:val="1"/>
      <w:marLeft w:val="0"/>
      <w:marRight w:val="0"/>
      <w:marTop w:val="0"/>
      <w:marBottom w:val="0"/>
      <w:divBdr>
        <w:top w:val="none" w:sz="0" w:space="0" w:color="auto"/>
        <w:left w:val="none" w:sz="0" w:space="0" w:color="auto"/>
        <w:bottom w:val="none" w:sz="0" w:space="0" w:color="auto"/>
        <w:right w:val="none" w:sz="0" w:space="0" w:color="auto"/>
      </w:divBdr>
    </w:div>
    <w:div w:id="1060517048">
      <w:bodyDiv w:val="1"/>
      <w:marLeft w:val="0"/>
      <w:marRight w:val="0"/>
      <w:marTop w:val="0"/>
      <w:marBottom w:val="0"/>
      <w:divBdr>
        <w:top w:val="none" w:sz="0" w:space="0" w:color="auto"/>
        <w:left w:val="none" w:sz="0" w:space="0" w:color="auto"/>
        <w:bottom w:val="none" w:sz="0" w:space="0" w:color="auto"/>
        <w:right w:val="none" w:sz="0" w:space="0" w:color="auto"/>
      </w:divBdr>
    </w:div>
    <w:div w:id="1108040568">
      <w:bodyDiv w:val="1"/>
      <w:marLeft w:val="0"/>
      <w:marRight w:val="0"/>
      <w:marTop w:val="0"/>
      <w:marBottom w:val="0"/>
      <w:divBdr>
        <w:top w:val="none" w:sz="0" w:space="0" w:color="auto"/>
        <w:left w:val="none" w:sz="0" w:space="0" w:color="auto"/>
        <w:bottom w:val="none" w:sz="0" w:space="0" w:color="auto"/>
        <w:right w:val="none" w:sz="0" w:space="0" w:color="auto"/>
      </w:divBdr>
    </w:div>
    <w:div w:id="1119254882">
      <w:bodyDiv w:val="1"/>
      <w:marLeft w:val="0"/>
      <w:marRight w:val="0"/>
      <w:marTop w:val="0"/>
      <w:marBottom w:val="0"/>
      <w:divBdr>
        <w:top w:val="none" w:sz="0" w:space="0" w:color="auto"/>
        <w:left w:val="none" w:sz="0" w:space="0" w:color="auto"/>
        <w:bottom w:val="none" w:sz="0" w:space="0" w:color="auto"/>
        <w:right w:val="none" w:sz="0" w:space="0" w:color="auto"/>
      </w:divBdr>
    </w:div>
    <w:div w:id="1175072335">
      <w:bodyDiv w:val="1"/>
      <w:marLeft w:val="0"/>
      <w:marRight w:val="0"/>
      <w:marTop w:val="0"/>
      <w:marBottom w:val="0"/>
      <w:divBdr>
        <w:top w:val="none" w:sz="0" w:space="0" w:color="auto"/>
        <w:left w:val="none" w:sz="0" w:space="0" w:color="auto"/>
        <w:bottom w:val="none" w:sz="0" w:space="0" w:color="auto"/>
        <w:right w:val="none" w:sz="0" w:space="0" w:color="auto"/>
      </w:divBdr>
    </w:div>
    <w:div w:id="1272589633">
      <w:bodyDiv w:val="1"/>
      <w:marLeft w:val="0"/>
      <w:marRight w:val="0"/>
      <w:marTop w:val="0"/>
      <w:marBottom w:val="0"/>
      <w:divBdr>
        <w:top w:val="none" w:sz="0" w:space="0" w:color="auto"/>
        <w:left w:val="none" w:sz="0" w:space="0" w:color="auto"/>
        <w:bottom w:val="none" w:sz="0" w:space="0" w:color="auto"/>
        <w:right w:val="none" w:sz="0" w:space="0" w:color="auto"/>
      </w:divBdr>
    </w:div>
    <w:div w:id="1458569645">
      <w:bodyDiv w:val="1"/>
      <w:marLeft w:val="0"/>
      <w:marRight w:val="0"/>
      <w:marTop w:val="0"/>
      <w:marBottom w:val="0"/>
      <w:divBdr>
        <w:top w:val="none" w:sz="0" w:space="0" w:color="auto"/>
        <w:left w:val="none" w:sz="0" w:space="0" w:color="auto"/>
        <w:bottom w:val="none" w:sz="0" w:space="0" w:color="auto"/>
        <w:right w:val="none" w:sz="0" w:space="0" w:color="auto"/>
      </w:divBdr>
    </w:div>
    <w:div w:id="1493254892">
      <w:bodyDiv w:val="1"/>
      <w:marLeft w:val="0"/>
      <w:marRight w:val="0"/>
      <w:marTop w:val="0"/>
      <w:marBottom w:val="0"/>
      <w:divBdr>
        <w:top w:val="none" w:sz="0" w:space="0" w:color="auto"/>
        <w:left w:val="none" w:sz="0" w:space="0" w:color="auto"/>
        <w:bottom w:val="none" w:sz="0" w:space="0" w:color="auto"/>
        <w:right w:val="none" w:sz="0" w:space="0" w:color="auto"/>
      </w:divBdr>
    </w:div>
    <w:div w:id="1557162703">
      <w:bodyDiv w:val="1"/>
      <w:marLeft w:val="0"/>
      <w:marRight w:val="0"/>
      <w:marTop w:val="0"/>
      <w:marBottom w:val="0"/>
      <w:divBdr>
        <w:top w:val="none" w:sz="0" w:space="0" w:color="auto"/>
        <w:left w:val="none" w:sz="0" w:space="0" w:color="auto"/>
        <w:bottom w:val="none" w:sz="0" w:space="0" w:color="auto"/>
        <w:right w:val="none" w:sz="0" w:space="0" w:color="auto"/>
      </w:divBdr>
    </w:div>
    <w:div w:id="1604343279">
      <w:bodyDiv w:val="1"/>
      <w:marLeft w:val="0"/>
      <w:marRight w:val="0"/>
      <w:marTop w:val="0"/>
      <w:marBottom w:val="0"/>
      <w:divBdr>
        <w:top w:val="none" w:sz="0" w:space="0" w:color="auto"/>
        <w:left w:val="none" w:sz="0" w:space="0" w:color="auto"/>
        <w:bottom w:val="none" w:sz="0" w:space="0" w:color="auto"/>
        <w:right w:val="none" w:sz="0" w:space="0" w:color="auto"/>
      </w:divBdr>
    </w:div>
    <w:div w:id="1638488412">
      <w:bodyDiv w:val="1"/>
      <w:marLeft w:val="0"/>
      <w:marRight w:val="0"/>
      <w:marTop w:val="0"/>
      <w:marBottom w:val="0"/>
      <w:divBdr>
        <w:top w:val="none" w:sz="0" w:space="0" w:color="auto"/>
        <w:left w:val="none" w:sz="0" w:space="0" w:color="auto"/>
        <w:bottom w:val="none" w:sz="0" w:space="0" w:color="auto"/>
        <w:right w:val="none" w:sz="0" w:space="0" w:color="auto"/>
      </w:divBdr>
    </w:div>
    <w:div w:id="1645239762">
      <w:bodyDiv w:val="1"/>
      <w:marLeft w:val="0"/>
      <w:marRight w:val="0"/>
      <w:marTop w:val="0"/>
      <w:marBottom w:val="0"/>
      <w:divBdr>
        <w:top w:val="none" w:sz="0" w:space="0" w:color="auto"/>
        <w:left w:val="none" w:sz="0" w:space="0" w:color="auto"/>
        <w:bottom w:val="none" w:sz="0" w:space="0" w:color="auto"/>
        <w:right w:val="none" w:sz="0" w:space="0" w:color="auto"/>
      </w:divBdr>
    </w:div>
    <w:div w:id="1723095919">
      <w:bodyDiv w:val="1"/>
      <w:marLeft w:val="0"/>
      <w:marRight w:val="0"/>
      <w:marTop w:val="0"/>
      <w:marBottom w:val="0"/>
      <w:divBdr>
        <w:top w:val="none" w:sz="0" w:space="0" w:color="auto"/>
        <w:left w:val="none" w:sz="0" w:space="0" w:color="auto"/>
        <w:bottom w:val="none" w:sz="0" w:space="0" w:color="auto"/>
        <w:right w:val="none" w:sz="0" w:space="0" w:color="auto"/>
      </w:divBdr>
    </w:div>
    <w:div w:id="2012677659">
      <w:bodyDiv w:val="1"/>
      <w:marLeft w:val="0"/>
      <w:marRight w:val="0"/>
      <w:marTop w:val="0"/>
      <w:marBottom w:val="0"/>
      <w:divBdr>
        <w:top w:val="none" w:sz="0" w:space="0" w:color="auto"/>
        <w:left w:val="none" w:sz="0" w:space="0" w:color="auto"/>
        <w:bottom w:val="none" w:sz="0" w:space="0" w:color="auto"/>
        <w:right w:val="none" w:sz="0" w:space="0" w:color="auto"/>
      </w:divBdr>
    </w:div>
    <w:div w:id="2073193432">
      <w:bodyDiv w:val="1"/>
      <w:marLeft w:val="0"/>
      <w:marRight w:val="0"/>
      <w:marTop w:val="0"/>
      <w:marBottom w:val="0"/>
      <w:divBdr>
        <w:top w:val="none" w:sz="0" w:space="0" w:color="auto"/>
        <w:left w:val="none" w:sz="0" w:space="0" w:color="auto"/>
        <w:bottom w:val="none" w:sz="0" w:space="0" w:color="auto"/>
        <w:right w:val="none" w:sz="0" w:space="0" w:color="auto"/>
      </w:divBdr>
    </w:div>
    <w:div w:id="20815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Excel_Worksheet3.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Office_Excel_Worksheet7.xls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Excel_Worksheet5.xlsx"/><Relationship Id="rId25" Type="http://schemas.openxmlformats.org/officeDocument/2006/relationships/package" Target="embeddings/Microsoft_Office_Excel_Worksheet9.xlsx"/><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Office_Excel_Worksheet1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24" Type="http://schemas.openxmlformats.org/officeDocument/2006/relationships/image" Target="media/image9.emf"/><Relationship Id="rId32"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package" Target="embeddings/Microsoft_Office_Excel_Worksheet4.xlsx"/><Relationship Id="rId23" Type="http://schemas.openxmlformats.org/officeDocument/2006/relationships/package" Target="embeddings/Microsoft_Office_Excel_Worksheet8.xlsx"/><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package" Target="embeddings/Microsoft_Office_Excel_Worksheet6.xlsx"/><Relationship Id="rId31" Type="http://schemas.openxmlformats.org/officeDocument/2006/relationships/package" Target="embeddings/Microsoft_Office_Excel_Worksheet12.xlsx"/><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Office_Excel_Worksheet10.xlsx"/><Relationship Id="rId30" Type="http://schemas.openxmlformats.org/officeDocument/2006/relationships/image" Target="media/image12.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FCC4-9AEE-4839-B58F-0F4301A9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3435</Words>
  <Characters>18694</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MOZCOM, INC</vt:lpstr>
    </vt:vector>
  </TitlesOfParts>
  <Company>---</Company>
  <LinksUpToDate>false</LinksUpToDate>
  <CharactersWithSpaces>22085</CharactersWithSpaces>
  <SharedDoc>false</SharedDoc>
  <HLinks>
    <vt:vector size="18" baseType="variant">
      <vt:variant>
        <vt:i4>196612</vt:i4>
      </vt:variant>
      <vt:variant>
        <vt:i4>6</vt:i4>
      </vt:variant>
      <vt:variant>
        <vt:i4>0</vt:i4>
      </vt:variant>
      <vt:variant>
        <vt:i4>5</vt:i4>
      </vt:variant>
      <vt:variant>
        <vt:lpwstr>http://www.iasplus.com/standard/ias33.htm</vt:lpwstr>
      </vt:variant>
      <vt:variant>
        <vt:lpwstr/>
      </vt:variant>
      <vt:variant>
        <vt:i4>65551</vt:i4>
      </vt:variant>
      <vt:variant>
        <vt:i4>3</vt:i4>
      </vt:variant>
      <vt:variant>
        <vt:i4>0</vt:i4>
      </vt:variant>
      <vt:variant>
        <vt:i4>5</vt:i4>
      </vt:variant>
      <vt:variant>
        <vt:lpwstr>http://www.iasplus.com/standard/ias18.htm</vt:lpwstr>
      </vt:variant>
      <vt:variant>
        <vt:lpwstr/>
      </vt:variant>
      <vt:variant>
        <vt:i4>0</vt:i4>
      </vt:variant>
      <vt:variant>
        <vt:i4>0</vt:i4>
      </vt:variant>
      <vt:variant>
        <vt:i4>0</vt:i4>
      </vt:variant>
      <vt:variant>
        <vt:i4>5</vt:i4>
      </vt:variant>
      <vt:variant>
        <vt:lpwstr>http://www.iasplus.com/standard/ias07.htm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MOZCOM, INC</dc:title>
  <dc:creator>celia</dc:creator>
  <cp:lastModifiedBy>user</cp:lastModifiedBy>
  <cp:revision>8</cp:revision>
  <cp:lastPrinted>2014-03-28T20:35:00Z</cp:lastPrinted>
  <dcterms:created xsi:type="dcterms:W3CDTF">2014-03-21T10:45:00Z</dcterms:created>
  <dcterms:modified xsi:type="dcterms:W3CDTF">2014-03-31T01:43:00Z</dcterms:modified>
</cp:coreProperties>
</file>