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MediumGrid1-Accent1"/>
        <w:tblpPr w:leftFromText="180" w:rightFromText="180" w:vertAnchor="page" w:horzAnchor="margin" w:tblpXSpec="center" w:tblpY="2476"/>
        <w:tblW w:w="10818" w:type="dxa"/>
        <w:tblLook w:val="04A0"/>
      </w:tblPr>
      <w:tblGrid>
        <w:gridCol w:w="2079"/>
        <w:gridCol w:w="1123"/>
        <w:gridCol w:w="996"/>
        <w:gridCol w:w="894"/>
        <w:gridCol w:w="805"/>
        <w:gridCol w:w="552"/>
        <w:gridCol w:w="996"/>
        <w:gridCol w:w="889"/>
        <w:gridCol w:w="875"/>
        <w:gridCol w:w="1609"/>
      </w:tblGrid>
      <w:tr w:rsidR="00714F81" w:rsidTr="002050DE">
        <w:trPr>
          <w:cnfStyle w:val="100000000000"/>
          <w:trHeight w:val="710"/>
        </w:trPr>
        <w:tc>
          <w:tcPr>
            <w:cnfStyle w:val="001000000000"/>
            <w:tcW w:w="10818" w:type="dxa"/>
            <w:gridSpan w:val="10"/>
          </w:tcPr>
          <w:p w:rsidR="00714F81" w:rsidRPr="00714F81" w:rsidRDefault="00714F81" w:rsidP="002050DE">
            <w:pPr>
              <w:jc w:val="center"/>
              <w:rPr>
                <w:b w:val="0"/>
                <w:sz w:val="28"/>
              </w:rPr>
            </w:pPr>
            <w:r w:rsidRPr="00714F81">
              <w:rPr>
                <w:b w:val="0"/>
                <w:sz w:val="28"/>
              </w:rPr>
              <w:t>SCHEDULE OF SS AND EC CONTRIBUTIONS</w:t>
            </w:r>
          </w:p>
          <w:p w:rsidR="00714F81" w:rsidRPr="00714F81" w:rsidRDefault="00714F81" w:rsidP="002050DE">
            <w:pPr>
              <w:jc w:val="center"/>
            </w:pPr>
            <w:r w:rsidRPr="00714F81">
              <w:t>EFFECTIVE JANUARY 1, 2007</w:t>
            </w:r>
          </w:p>
        </w:tc>
      </w:tr>
      <w:tr w:rsidR="00786263" w:rsidTr="002050DE">
        <w:trPr>
          <w:cnfStyle w:val="000000100000"/>
          <w:trHeight w:val="80"/>
        </w:trPr>
        <w:tc>
          <w:tcPr>
            <w:cnfStyle w:val="001000000000"/>
            <w:tcW w:w="2079" w:type="dxa"/>
            <w:vMerge w:val="restart"/>
          </w:tcPr>
          <w:p w:rsidR="00E971EC" w:rsidRPr="00714F81" w:rsidRDefault="00E971EC" w:rsidP="002050DE">
            <w:pPr>
              <w:jc w:val="center"/>
              <w:rPr>
                <w:b w:val="0"/>
                <w:sz w:val="20"/>
              </w:rPr>
            </w:pPr>
            <w:r w:rsidRPr="00714F81">
              <w:rPr>
                <w:b w:val="0"/>
                <w:sz w:val="20"/>
              </w:rPr>
              <w:t>RANGE OF COMPENSATION</w:t>
            </w:r>
          </w:p>
        </w:tc>
        <w:tc>
          <w:tcPr>
            <w:tcW w:w="1123" w:type="dxa"/>
            <w:vMerge w:val="restart"/>
          </w:tcPr>
          <w:p w:rsidR="00E971EC" w:rsidRPr="00714F81" w:rsidRDefault="00E971EC" w:rsidP="002050DE">
            <w:pPr>
              <w:jc w:val="center"/>
              <w:cnfStyle w:val="0000001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MONTHLY SALARY CREDIT</w:t>
            </w:r>
          </w:p>
        </w:tc>
        <w:tc>
          <w:tcPr>
            <w:tcW w:w="6007" w:type="dxa"/>
            <w:gridSpan w:val="7"/>
          </w:tcPr>
          <w:p w:rsidR="00E971EC" w:rsidRPr="00714F81" w:rsidRDefault="00E971EC" w:rsidP="002050DE">
            <w:pPr>
              <w:jc w:val="center"/>
              <w:cnfStyle w:val="0000001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EMPLOYER-EMPLOYEE</w:t>
            </w:r>
          </w:p>
        </w:tc>
        <w:tc>
          <w:tcPr>
            <w:tcW w:w="1609" w:type="dxa"/>
          </w:tcPr>
          <w:p w:rsidR="00E971EC" w:rsidRPr="00714F81" w:rsidRDefault="00E971EC" w:rsidP="002050DE">
            <w:pPr>
              <w:jc w:val="center"/>
              <w:cnfStyle w:val="0000001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SE/VM/OFW</w:t>
            </w:r>
            <w:r w:rsidR="00CC37C0">
              <w:rPr>
                <w:b/>
                <w:sz w:val="20"/>
              </w:rPr>
              <w:t>*</w:t>
            </w:r>
          </w:p>
        </w:tc>
      </w:tr>
      <w:tr w:rsidR="00786263" w:rsidTr="002050DE">
        <w:trPr>
          <w:trHeight w:val="270"/>
        </w:trPr>
        <w:tc>
          <w:tcPr>
            <w:cnfStyle w:val="001000000000"/>
            <w:tcW w:w="2079" w:type="dxa"/>
            <w:vMerge/>
          </w:tcPr>
          <w:p w:rsidR="00E971EC" w:rsidRPr="00714F81" w:rsidRDefault="00E971EC" w:rsidP="002050DE">
            <w:pPr>
              <w:rPr>
                <w:b w:val="0"/>
                <w:sz w:val="20"/>
              </w:rPr>
            </w:pPr>
          </w:p>
        </w:tc>
        <w:tc>
          <w:tcPr>
            <w:tcW w:w="1123" w:type="dxa"/>
            <w:vMerge/>
          </w:tcPr>
          <w:p w:rsidR="00E971EC" w:rsidRPr="00714F81" w:rsidRDefault="00E971EC" w:rsidP="002050DE">
            <w:pPr>
              <w:cnfStyle w:val="000000000000"/>
              <w:rPr>
                <w:b/>
                <w:sz w:val="20"/>
              </w:rPr>
            </w:pPr>
          </w:p>
        </w:tc>
        <w:tc>
          <w:tcPr>
            <w:tcW w:w="2695" w:type="dxa"/>
            <w:gridSpan w:val="3"/>
          </w:tcPr>
          <w:p w:rsidR="00E971EC" w:rsidRPr="00714F81" w:rsidRDefault="00E971EC" w:rsidP="002050DE">
            <w:pPr>
              <w:jc w:val="center"/>
              <w:cnfStyle w:val="0000000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SOCIAL SECURITY</w:t>
            </w:r>
          </w:p>
        </w:tc>
        <w:tc>
          <w:tcPr>
            <w:tcW w:w="552" w:type="dxa"/>
          </w:tcPr>
          <w:p w:rsidR="00E971EC" w:rsidRPr="00714F81" w:rsidRDefault="00E971EC" w:rsidP="002050DE">
            <w:pPr>
              <w:jc w:val="center"/>
              <w:cnfStyle w:val="0000000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EC</w:t>
            </w:r>
          </w:p>
        </w:tc>
        <w:tc>
          <w:tcPr>
            <w:tcW w:w="2760" w:type="dxa"/>
            <w:gridSpan w:val="3"/>
          </w:tcPr>
          <w:p w:rsidR="00E971EC" w:rsidRPr="00714F81" w:rsidRDefault="00E971EC" w:rsidP="002050DE">
            <w:pPr>
              <w:jc w:val="center"/>
              <w:cnfStyle w:val="0000000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TOTAL CONTRIBUTION</w:t>
            </w:r>
          </w:p>
        </w:tc>
        <w:tc>
          <w:tcPr>
            <w:tcW w:w="1609" w:type="dxa"/>
            <w:vMerge w:val="restart"/>
          </w:tcPr>
          <w:p w:rsidR="00E971EC" w:rsidRPr="00714F81" w:rsidRDefault="00E971EC" w:rsidP="002050DE">
            <w:pPr>
              <w:jc w:val="center"/>
              <w:cnfStyle w:val="0000000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TOTAL CONTRIBUTION</w:t>
            </w:r>
          </w:p>
        </w:tc>
      </w:tr>
      <w:tr w:rsidR="00786263" w:rsidTr="002050DE">
        <w:trPr>
          <w:cnfStyle w:val="000000100000"/>
          <w:trHeight w:val="260"/>
        </w:trPr>
        <w:tc>
          <w:tcPr>
            <w:cnfStyle w:val="001000000000"/>
            <w:tcW w:w="2079" w:type="dxa"/>
            <w:vMerge/>
          </w:tcPr>
          <w:p w:rsidR="00E971EC" w:rsidRPr="00714F81" w:rsidRDefault="00E971EC" w:rsidP="002050DE">
            <w:pPr>
              <w:rPr>
                <w:b w:val="0"/>
                <w:sz w:val="20"/>
              </w:rPr>
            </w:pPr>
          </w:p>
        </w:tc>
        <w:tc>
          <w:tcPr>
            <w:tcW w:w="1123" w:type="dxa"/>
            <w:vMerge/>
          </w:tcPr>
          <w:p w:rsidR="00E971EC" w:rsidRPr="00714F81" w:rsidRDefault="00E971EC" w:rsidP="002050DE">
            <w:pPr>
              <w:cnfStyle w:val="000000100000"/>
              <w:rPr>
                <w:b/>
                <w:sz w:val="20"/>
              </w:rPr>
            </w:pPr>
          </w:p>
        </w:tc>
        <w:tc>
          <w:tcPr>
            <w:tcW w:w="996" w:type="dxa"/>
          </w:tcPr>
          <w:p w:rsidR="00E971EC" w:rsidRPr="00714F81" w:rsidRDefault="00E971EC" w:rsidP="002050DE">
            <w:pPr>
              <w:jc w:val="center"/>
              <w:cnfStyle w:val="0000001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ER</w:t>
            </w:r>
          </w:p>
        </w:tc>
        <w:tc>
          <w:tcPr>
            <w:tcW w:w="894" w:type="dxa"/>
          </w:tcPr>
          <w:p w:rsidR="00E971EC" w:rsidRPr="00714F81" w:rsidRDefault="00E971EC" w:rsidP="002050DE">
            <w:pPr>
              <w:jc w:val="center"/>
              <w:cnfStyle w:val="0000001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EE</w:t>
            </w:r>
          </w:p>
        </w:tc>
        <w:tc>
          <w:tcPr>
            <w:tcW w:w="805" w:type="dxa"/>
          </w:tcPr>
          <w:p w:rsidR="00E971EC" w:rsidRPr="00714F81" w:rsidRDefault="00E971EC" w:rsidP="002050DE">
            <w:pPr>
              <w:jc w:val="center"/>
              <w:cnfStyle w:val="0000001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TOTAL</w:t>
            </w:r>
          </w:p>
        </w:tc>
        <w:tc>
          <w:tcPr>
            <w:tcW w:w="552" w:type="dxa"/>
          </w:tcPr>
          <w:p w:rsidR="00E971EC" w:rsidRPr="00714F81" w:rsidRDefault="00E971EC" w:rsidP="002050DE">
            <w:pPr>
              <w:jc w:val="center"/>
              <w:cnfStyle w:val="0000001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ER</w:t>
            </w:r>
          </w:p>
        </w:tc>
        <w:tc>
          <w:tcPr>
            <w:tcW w:w="996" w:type="dxa"/>
          </w:tcPr>
          <w:p w:rsidR="00E971EC" w:rsidRPr="00714F81" w:rsidRDefault="00E971EC" w:rsidP="002050DE">
            <w:pPr>
              <w:jc w:val="center"/>
              <w:cnfStyle w:val="0000001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ER</w:t>
            </w:r>
          </w:p>
        </w:tc>
        <w:tc>
          <w:tcPr>
            <w:tcW w:w="889" w:type="dxa"/>
          </w:tcPr>
          <w:p w:rsidR="00E971EC" w:rsidRPr="00714F81" w:rsidRDefault="00E971EC" w:rsidP="002050DE">
            <w:pPr>
              <w:jc w:val="center"/>
              <w:cnfStyle w:val="0000001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EE</w:t>
            </w:r>
          </w:p>
        </w:tc>
        <w:tc>
          <w:tcPr>
            <w:tcW w:w="875" w:type="dxa"/>
          </w:tcPr>
          <w:p w:rsidR="00E971EC" w:rsidRPr="00714F81" w:rsidRDefault="00E971EC" w:rsidP="002050DE">
            <w:pPr>
              <w:jc w:val="center"/>
              <w:cnfStyle w:val="000000100000"/>
              <w:rPr>
                <w:b/>
                <w:sz w:val="20"/>
              </w:rPr>
            </w:pPr>
            <w:r w:rsidRPr="00714F81">
              <w:rPr>
                <w:b/>
                <w:sz w:val="20"/>
              </w:rPr>
              <w:t>TOTAL</w:t>
            </w:r>
          </w:p>
        </w:tc>
        <w:tc>
          <w:tcPr>
            <w:tcW w:w="1609" w:type="dxa"/>
            <w:vMerge/>
          </w:tcPr>
          <w:p w:rsidR="00E971EC" w:rsidRPr="00714F81" w:rsidRDefault="00E971EC" w:rsidP="002050DE">
            <w:pPr>
              <w:jc w:val="right"/>
              <w:cnfStyle w:val="000000100000"/>
              <w:rPr>
                <w:b/>
                <w:sz w:val="20"/>
              </w:rPr>
            </w:pPr>
          </w:p>
        </w:tc>
      </w:tr>
      <w:tr w:rsidR="00786263" w:rsidRPr="00BD28BB" w:rsidTr="002050DE">
        <w:tc>
          <w:tcPr>
            <w:cnfStyle w:val="001000000000"/>
            <w:tcW w:w="2079" w:type="dxa"/>
          </w:tcPr>
          <w:p w:rsidR="00CB2732" w:rsidRPr="00BD28BB" w:rsidRDefault="00714F81" w:rsidP="002050DE">
            <w:r w:rsidRPr="00BD28BB">
              <w:t>1,000</w:t>
            </w:r>
            <w:r w:rsidR="00957003" w:rsidRPr="00BD28BB">
              <w:t xml:space="preserve">  </w:t>
            </w:r>
            <w:r w:rsidR="00BD28BB" w:rsidRPr="00BD28BB">
              <w:t xml:space="preserve">   </w:t>
            </w:r>
            <w:r w:rsidRPr="00BD28BB">
              <w:t>-</w:t>
            </w:r>
            <w:r w:rsidR="00957003" w:rsidRPr="00BD28BB">
              <w:t xml:space="preserve">  </w:t>
            </w:r>
            <w:r w:rsidR="0002457D" w:rsidRPr="00BD28BB">
              <w:t xml:space="preserve"> </w:t>
            </w:r>
            <w:r w:rsidR="00BD28BB">
              <w:t xml:space="preserve">  </w:t>
            </w:r>
            <w:r w:rsidRPr="00BD28BB">
              <w:t>1,249.99</w:t>
            </w:r>
          </w:p>
        </w:tc>
        <w:tc>
          <w:tcPr>
            <w:tcW w:w="1123" w:type="dxa"/>
          </w:tcPr>
          <w:p w:rsidR="00CB2732" w:rsidRPr="00BD28BB" w:rsidRDefault="000E3B60" w:rsidP="002050DE">
            <w:pPr>
              <w:jc w:val="right"/>
              <w:cnfStyle w:val="000000000000"/>
            </w:pPr>
            <w:r w:rsidRPr="00BD28BB">
              <w:t>1,000</w:t>
            </w:r>
          </w:p>
        </w:tc>
        <w:tc>
          <w:tcPr>
            <w:tcW w:w="996" w:type="dxa"/>
          </w:tcPr>
          <w:p w:rsidR="00CB2732" w:rsidRPr="00BD28BB" w:rsidRDefault="000E3B60" w:rsidP="002050DE">
            <w:pPr>
              <w:jc w:val="right"/>
              <w:cnfStyle w:val="000000000000"/>
            </w:pPr>
            <w:r w:rsidRPr="00BD28BB">
              <w:t>70.70</w:t>
            </w:r>
          </w:p>
        </w:tc>
        <w:tc>
          <w:tcPr>
            <w:tcW w:w="894" w:type="dxa"/>
          </w:tcPr>
          <w:p w:rsidR="00CB2732" w:rsidRPr="00BD28BB" w:rsidRDefault="000E3B60" w:rsidP="002050DE">
            <w:pPr>
              <w:jc w:val="right"/>
              <w:cnfStyle w:val="000000000000"/>
            </w:pPr>
            <w:r w:rsidRPr="00BD28BB">
              <w:t>33.30</w:t>
            </w:r>
          </w:p>
        </w:tc>
        <w:tc>
          <w:tcPr>
            <w:tcW w:w="805" w:type="dxa"/>
          </w:tcPr>
          <w:p w:rsidR="00CB2732" w:rsidRPr="00BD28BB" w:rsidRDefault="000E3B60" w:rsidP="002050DE">
            <w:pPr>
              <w:jc w:val="right"/>
              <w:cnfStyle w:val="000000000000"/>
            </w:pPr>
            <w:r w:rsidRPr="00BD28BB">
              <w:t>104</w:t>
            </w:r>
          </w:p>
        </w:tc>
        <w:tc>
          <w:tcPr>
            <w:tcW w:w="552" w:type="dxa"/>
          </w:tcPr>
          <w:p w:rsidR="00CB2732" w:rsidRPr="00BD28BB" w:rsidRDefault="000E3B60" w:rsidP="002050DE">
            <w:pPr>
              <w:jc w:val="right"/>
              <w:cnfStyle w:val="000000000000"/>
            </w:pPr>
            <w:r w:rsidRPr="00BD28BB">
              <w:t>10</w:t>
            </w:r>
          </w:p>
        </w:tc>
        <w:tc>
          <w:tcPr>
            <w:tcW w:w="996" w:type="dxa"/>
          </w:tcPr>
          <w:p w:rsidR="00CB2732" w:rsidRPr="00BD28BB" w:rsidRDefault="000E3B60" w:rsidP="002050DE">
            <w:pPr>
              <w:jc w:val="right"/>
              <w:cnfStyle w:val="000000000000"/>
            </w:pPr>
            <w:r w:rsidRPr="00BD28BB">
              <w:t>80.70</w:t>
            </w:r>
          </w:p>
        </w:tc>
        <w:tc>
          <w:tcPr>
            <w:tcW w:w="889" w:type="dxa"/>
          </w:tcPr>
          <w:p w:rsidR="00CB2732" w:rsidRPr="00BD28BB" w:rsidRDefault="000E3B60" w:rsidP="002050DE">
            <w:pPr>
              <w:jc w:val="right"/>
              <w:cnfStyle w:val="000000000000"/>
            </w:pPr>
            <w:r w:rsidRPr="00BD28BB">
              <w:t>33.30</w:t>
            </w:r>
          </w:p>
        </w:tc>
        <w:tc>
          <w:tcPr>
            <w:tcW w:w="875" w:type="dxa"/>
          </w:tcPr>
          <w:p w:rsidR="00CB2732" w:rsidRPr="00BD28BB" w:rsidRDefault="000E3B60" w:rsidP="002050DE">
            <w:pPr>
              <w:jc w:val="right"/>
              <w:cnfStyle w:val="000000000000"/>
            </w:pPr>
            <w:r w:rsidRPr="00BD28BB">
              <w:t>114</w:t>
            </w:r>
          </w:p>
        </w:tc>
        <w:tc>
          <w:tcPr>
            <w:tcW w:w="1609" w:type="dxa"/>
          </w:tcPr>
          <w:p w:rsidR="00CB2732" w:rsidRPr="00BD28BB" w:rsidRDefault="000E3B60" w:rsidP="002050DE">
            <w:pPr>
              <w:jc w:val="right"/>
              <w:cnfStyle w:val="000000000000"/>
            </w:pPr>
            <w:r w:rsidRPr="00BD28BB">
              <w:t>104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CB2732" w:rsidRDefault="003E02D7" w:rsidP="002050DE">
            <w:r>
              <w:t>1,250</w:t>
            </w:r>
            <w:r w:rsidR="00957003">
              <w:t xml:space="preserve"> </w:t>
            </w:r>
            <w:r w:rsidR="00BD28BB">
              <w:t xml:space="preserve">   </w:t>
            </w:r>
            <w:r>
              <w:t>-</w:t>
            </w:r>
            <w:r w:rsidR="00957003">
              <w:t xml:space="preserve"> </w:t>
            </w:r>
            <w:r w:rsidR="00BD28BB">
              <w:t xml:space="preserve">    </w:t>
            </w:r>
            <w:r w:rsidR="0002457D">
              <w:t xml:space="preserve"> </w:t>
            </w:r>
            <w:r w:rsidR="00957003">
              <w:t>1,749.99</w:t>
            </w:r>
          </w:p>
        </w:tc>
        <w:tc>
          <w:tcPr>
            <w:tcW w:w="1123" w:type="dxa"/>
          </w:tcPr>
          <w:p w:rsidR="00CB2732" w:rsidRDefault="003E02D7" w:rsidP="002050DE">
            <w:pPr>
              <w:jc w:val="right"/>
              <w:cnfStyle w:val="000000100000"/>
            </w:pPr>
            <w:r>
              <w:t>1,500</w:t>
            </w:r>
          </w:p>
        </w:tc>
        <w:tc>
          <w:tcPr>
            <w:tcW w:w="996" w:type="dxa"/>
          </w:tcPr>
          <w:p w:rsidR="00CB2732" w:rsidRDefault="00DD11A6" w:rsidP="002050DE">
            <w:pPr>
              <w:jc w:val="right"/>
              <w:cnfStyle w:val="000000100000"/>
            </w:pPr>
            <w:r>
              <w:t>106.00</w:t>
            </w:r>
          </w:p>
        </w:tc>
        <w:tc>
          <w:tcPr>
            <w:tcW w:w="894" w:type="dxa"/>
          </w:tcPr>
          <w:p w:rsidR="00CB2732" w:rsidRDefault="00D649FA" w:rsidP="002050DE">
            <w:pPr>
              <w:jc w:val="right"/>
              <w:cnfStyle w:val="000000100000"/>
            </w:pPr>
            <w:r>
              <w:t>50.00</w:t>
            </w:r>
          </w:p>
        </w:tc>
        <w:tc>
          <w:tcPr>
            <w:tcW w:w="805" w:type="dxa"/>
          </w:tcPr>
          <w:p w:rsidR="00CB2732" w:rsidRDefault="00352162" w:rsidP="002050DE">
            <w:pPr>
              <w:jc w:val="right"/>
              <w:cnfStyle w:val="000000100000"/>
            </w:pPr>
            <w:r>
              <w:t>156</w:t>
            </w:r>
          </w:p>
        </w:tc>
        <w:tc>
          <w:tcPr>
            <w:tcW w:w="552" w:type="dxa"/>
          </w:tcPr>
          <w:p w:rsidR="00CB2732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CB2732" w:rsidRDefault="00664A94" w:rsidP="002050DE">
            <w:pPr>
              <w:jc w:val="right"/>
              <w:cnfStyle w:val="000000100000"/>
            </w:pPr>
            <w:r>
              <w:t>116.00</w:t>
            </w:r>
          </w:p>
        </w:tc>
        <w:tc>
          <w:tcPr>
            <w:tcW w:w="889" w:type="dxa"/>
          </w:tcPr>
          <w:p w:rsidR="00CB2732" w:rsidRDefault="00DC0E71" w:rsidP="002050DE">
            <w:pPr>
              <w:jc w:val="right"/>
              <w:cnfStyle w:val="000000100000"/>
            </w:pPr>
            <w:r>
              <w:t>50.00</w:t>
            </w:r>
          </w:p>
        </w:tc>
        <w:tc>
          <w:tcPr>
            <w:tcW w:w="875" w:type="dxa"/>
          </w:tcPr>
          <w:p w:rsidR="00CB2732" w:rsidRDefault="00DC0E71" w:rsidP="002050DE">
            <w:pPr>
              <w:jc w:val="right"/>
              <w:cnfStyle w:val="000000100000"/>
            </w:pPr>
            <w:r>
              <w:t>166</w:t>
            </w:r>
          </w:p>
        </w:tc>
        <w:tc>
          <w:tcPr>
            <w:tcW w:w="1609" w:type="dxa"/>
          </w:tcPr>
          <w:p w:rsidR="00CB2732" w:rsidRDefault="00590818" w:rsidP="002050DE">
            <w:pPr>
              <w:jc w:val="right"/>
              <w:cnfStyle w:val="000000100000"/>
            </w:pPr>
            <w:r>
              <w:t>156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CB2732" w:rsidRDefault="003E02D7" w:rsidP="002050DE">
            <w:r>
              <w:t>1,750</w:t>
            </w:r>
            <w:r w:rsidR="0002457D">
              <w:t xml:space="preserve"> </w:t>
            </w:r>
            <w:r w:rsidR="00BD28BB">
              <w:t xml:space="preserve">   </w:t>
            </w:r>
            <w:r w:rsidR="00957003">
              <w:t>-</w:t>
            </w:r>
            <w:r w:rsidR="0002457D">
              <w:t xml:space="preserve">  </w:t>
            </w:r>
            <w:r w:rsidR="00BD28BB">
              <w:t xml:space="preserve">    </w:t>
            </w:r>
            <w:r w:rsidR="00957003">
              <w:t>2,249.99</w:t>
            </w:r>
          </w:p>
        </w:tc>
        <w:tc>
          <w:tcPr>
            <w:tcW w:w="1123" w:type="dxa"/>
          </w:tcPr>
          <w:p w:rsidR="00CB2732" w:rsidRDefault="003E02D7" w:rsidP="002050DE">
            <w:pPr>
              <w:jc w:val="right"/>
              <w:cnfStyle w:val="000000000000"/>
            </w:pPr>
            <w:r>
              <w:t>2,000</w:t>
            </w:r>
          </w:p>
        </w:tc>
        <w:tc>
          <w:tcPr>
            <w:tcW w:w="996" w:type="dxa"/>
          </w:tcPr>
          <w:p w:rsidR="00CB2732" w:rsidRDefault="00DD11A6" w:rsidP="002050DE">
            <w:pPr>
              <w:jc w:val="right"/>
              <w:cnfStyle w:val="000000000000"/>
            </w:pPr>
            <w:r>
              <w:t>141.30</w:t>
            </w:r>
          </w:p>
        </w:tc>
        <w:tc>
          <w:tcPr>
            <w:tcW w:w="894" w:type="dxa"/>
          </w:tcPr>
          <w:p w:rsidR="00CB2732" w:rsidRDefault="00D649FA" w:rsidP="002050DE">
            <w:pPr>
              <w:jc w:val="right"/>
              <w:cnfStyle w:val="000000000000"/>
            </w:pPr>
            <w:r>
              <w:t>66.70</w:t>
            </w:r>
          </w:p>
        </w:tc>
        <w:tc>
          <w:tcPr>
            <w:tcW w:w="805" w:type="dxa"/>
          </w:tcPr>
          <w:p w:rsidR="00CB2732" w:rsidRDefault="00352162" w:rsidP="002050DE">
            <w:pPr>
              <w:jc w:val="right"/>
              <w:cnfStyle w:val="000000000000"/>
            </w:pPr>
            <w:r>
              <w:t>208</w:t>
            </w:r>
          </w:p>
        </w:tc>
        <w:tc>
          <w:tcPr>
            <w:tcW w:w="552" w:type="dxa"/>
          </w:tcPr>
          <w:p w:rsidR="00CB2732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CB2732" w:rsidRDefault="00664A94" w:rsidP="002050DE">
            <w:pPr>
              <w:jc w:val="right"/>
              <w:cnfStyle w:val="000000000000"/>
            </w:pPr>
            <w:r>
              <w:t>151.30</w:t>
            </w:r>
          </w:p>
        </w:tc>
        <w:tc>
          <w:tcPr>
            <w:tcW w:w="889" w:type="dxa"/>
          </w:tcPr>
          <w:p w:rsidR="00CB2732" w:rsidRDefault="00DC0E71" w:rsidP="002050DE">
            <w:pPr>
              <w:jc w:val="right"/>
              <w:cnfStyle w:val="000000000000"/>
            </w:pPr>
            <w:r>
              <w:t>66.70</w:t>
            </w:r>
          </w:p>
        </w:tc>
        <w:tc>
          <w:tcPr>
            <w:tcW w:w="875" w:type="dxa"/>
          </w:tcPr>
          <w:p w:rsidR="00CB2732" w:rsidRDefault="00DC0E71" w:rsidP="002050DE">
            <w:pPr>
              <w:jc w:val="right"/>
              <w:cnfStyle w:val="000000000000"/>
            </w:pPr>
            <w:r>
              <w:t>218</w:t>
            </w:r>
          </w:p>
        </w:tc>
        <w:tc>
          <w:tcPr>
            <w:tcW w:w="1609" w:type="dxa"/>
          </w:tcPr>
          <w:p w:rsidR="00CB2732" w:rsidRDefault="00590818" w:rsidP="002050DE">
            <w:pPr>
              <w:jc w:val="right"/>
              <w:cnfStyle w:val="000000000000"/>
            </w:pPr>
            <w:r>
              <w:t>208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CB2732" w:rsidRDefault="003E02D7" w:rsidP="002050DE">
            <w:r>
              <w:t>2,250</w:t>
            </w:r>
            <w:r w:rsidR="0002457D">
              <w:t xml:space="preserve"> </w:t>
            </w:r>
            <w:r w:rsidR="00BD28BB">
              <w:t xml:space="preserve">   </w:t>
            </w:r>
            <w:r w:rsidR="00957003">
              <w:t>-</w:t>
            </w:r>
            <w:r w:rsidR="0002457D">
              <w:t xml:space="preserve"> </w:t>
            </w:r>
            <w:r w:rsidR="00BD28BB">
              <w:t xml:space="preserve">    </w:t>
            </w:r>
            <w:r w:rsidR="0002457D">
              <w:t xml:space="preserve"> </w:t>
            </w:r>
            <w:r w:rsidR="00957003">
              <w:t>2,749.99</w:t>
            </w:r>
          </w:p>
        </w:tc>
        <w:tc>
          <w:tcPr>
            <w:tcW w:w="1123" w:type="dxa"/>
          </w:tcPr>
          <w:p w:rsidR="00CB2732" w:rsidRDefault="003E02D7" w:rsidP="002050DE">
            <w:pPr>
              <w:jc w:val="right"/>
              <w:cnfStyle w:val="000000100000"/>
            </w:pPr>
            <w:r>
              <w:t>2,500</w:t>
            </w:r>
          </w:p>
        </w:tc>
        <w:tc>
          <w:tcPr>
            <w:tcW w:w="996" w:type="dxa"/>
          </w:tcPr>
          <w:p w:rsidR="00CB2732" w:rsidRDefault="00DD11A6" w:rsidP="002050DE">
            <w:pPr>
              <w:jc w:val="right"/>
              <w:cnfStyle w:val="000000100000"/>
            </w:pPr>
            <w:r>
              <w:t>176.70</w:t>
            </w:r>
          </w:p>
        </w:tc>
        <w:tc>
          <w:tcPr>
            <w:tcW w:w="894" w:type="dxa"/>
          </w:tcPr>
          <w:p w:rsidR="00CB2732" w:rsidRDefault="00D649FA" w:rsidP="002050DE">
            <w:pPr>
              <w:jc w:val="right"/>
              <w:cnfStyle w:val="000000100000"/>
            </w:pPr>
            <w:r>
              <w:t>83.30</w:t>
            </w:r>
          </w:p>
        </w:tc>
        <w:tc>
          <w:tcPr>
            <w:tcW w:w="805" w:type="dxa"/>
          </w:tcPr>
          <w:p w:rsidR="00CB2732" w:rsidRDefault="00352162" w:rsidP="002050DE">
            <w:pPr>
              <w:jc w:val="right"/>
              <w:cnfStyle w:val="000000100000"/>
            </w:pPr>
            <w:r>
              <w:t>260</w:t>
            </w:r>
          </w:p>
        </w:tc>
        <w:tc>
          <w:tcPr>
            <w:tcW w:w="552" w:type="dxa"/>
          </w:tcPr>
          <w:p w:rsidR="00CB2732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CB2732" w:rsidRDefault="00664A94" w:rsidP="002050DE">
            <w:pPr>
              <w:jc w:val="right"/>
              <w:cnfStyle w:val="000000100000"/>
            </w:pPr>
            <w:r>
              <w:t>186.70</w:t>
            </w:r>
          </w:p>
        </w:tc>
        <w:tc>
          <w:tcPr>
            <w:tcW w:w="889" w:type="dxa"/>
          </w:tcPr>
          <w:p w:rsidR="00CB2732" w:rsidRDefault="00DC0E71" w:rsidP="002050DE">
            <w:pPr>
              <w:jc w:val="right"/>
              <w:cnfStyle w:val="000000100000"/>
            </w:pPr>
            <w:r>
              <w:t>83.30</w:t>
            </w:r>
          </w:p>
        </w:tc>
        <w:tc>
          <w:tcPr>
            <w:tcW w:w="875" w:type="dxa"/>
          </w:tcPr>
          <w:p w:rsidR="00CB2732" w:rsidRDefault="00DC0E71" w:rsidP="002050DE">
            <w:pPr>
              <w:jc w:val="right"/>
              <w:cnfStyle w:val="000000100000"/>
            </w:pPr>
            <w:r>
              <w:t>270</w:t>
            </w:r>
          </w:p>
        </w:tc>
        <w:tc>
          <w:tcPr>
            <w:tcW w:w="1609" w:type="dxa"/>
          </w:tcPr>
          <w:p w:rsidR="00CB2732" w:rsidRDefault="00590818" w:rsidP="002050DE">
            <w:pPr>
              <w:jc w:val="right"/>
              <w:cnfStyle w:val="000000100000"/>
            </w:pPr>
            <w:r>
              <w:t>260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CB2732" w:rsidRDefault="003E02D7" w:rsidP="002050DE">
            <w:r>
              <w:t>2,750</w:t>
            </w:r>
            <w:r w:rsidR="0002457D">
              <w:t xml:space="preserve"> </w:t>
            </w:r>
            <w:r w:rsidR="00BD28BB">
              <w:t xml:space="preserve">   </w:t>
            </w:r>
            <w:r w:rsidR="00957003">
              <w:t>-</w:t>
            </w:r>
            <w:r w:rsidR="00BD28BB">
              <w:t xml:space="preserve">    </w:t>
            </w:r>
            <w:r w:rsidR="0002457D">
              <w:t xml:space="preserve">  </w:t>
            </w:r>
            <w:r w:rsidR="00957003">
              <w:t>3,249.99</w:t>
            </w:r>
          </w:p>
        </w:tc>
        <w:tc>
          <w:tcPr>
            <w:tcW w:w="1123" w:type="dxa"/>
          </w:tcPr>
          <w:p w:rsidR="00CB2732" w:rsidRDefault="003E02D7" w:rsidP="002050DE">
            <w:pPr>
              <w:jc w:val="right"/>
              <w:cnfStyle w:val="000000000000"/>
            </w:pPr>
            <w:r>
              <w:t>3,000</w:t>
            </w:r>
          </w:p>
        </w:tc>
        <w:tc>
          <w:tcPr>
            <w:tcW w:w="996" w:type="dxa"/>
          </w:tcPr>
          <w:p w:rsidR="00CB2732" w:rsidRDefault="00DD11A6" w:rsidP="002050DE">
            <w:pPr>
              <w:jc w:val="right"/>
              <w:cnfStyle w:val="000000000000"/>
            </w:pPr>
            <w:r>
              <w:t>212.00</w:t>
            </w:r>
          </w:p>
        </w:tc>
        <w:tc>
          <w:tcPr>
            <w:tcW w:w="894" w:type="dxa"/>
          </w:tcPr>
          <w:p w:rsidR="00CB2732" w:rsidRDefault="00D649FA" w:rsidP="002050DE">
            <w:pPr>
              <w:jc w:val="right"/>
              <w:cnfStyle w:val="000000000000"/>
            </w:pPr>
            <w:r>
              <w:t>100.00</w:t>
            </w:r>
          </w:p>
        </w:tc>
        <w:tc>
          <w:tcPr>
            <w:tcW w:w="805" w:type="dxa"/>
          </w:tcPr>
          <w:p w:rsidR="00CB2732" w:rsidRDefault="00352162" w:rsidP="002050DE">
            <w:pPr>
              <w:jc w:val="right"/>
              <w:cnfStyle w:val="000000000000"/>
            </w:pPr>
            <w:r>
              <w:t>312</w:t>
            </w:r>
          </w:p>
        </w:tc>
        <w:tc>
          <w:tcPr>
            <w:tcW w:w="552" w:type="dxa"/>
          </w:tcPr>
          <w:p w:rsidR="00CB2732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CB2732" w:rsidRDefault="00664A94" w:rsidP="002050DE">
            <w:pPr>
              <w:jc w:val="right"/>
              <w:cnfStyle w:val="000000000000"/>
            </w:pPr>
            <w:r>
              <w:t>222.00</w:t>
            </w:r>
          </w:p>
        </w:tc>
        <w:tc>
          <w:tcPr>
            <w:tcW w:w="889" w:type="dxa"/>
          </w:tcPr>
          <w:p w:rsidR="00CB2732" w:rsidRDefault="00DC0E71" w:rsidP="002050DE">
            <w:pPr>
              <w:jc w:val="right"/>
              <w:cnfStyle w:val="000000000000"/>
            </w:pPr>
            <w:r>
              <w:t>100.00</w:t>
            </w:r>
          </w:p>
        </w:tc>
        <w:tc>
          <w:tcPr>
            <w:tcW w:w="875" w:type="dxa"/>
          </w:tcPr>
          <w:p w:rsidR="00CB2732" w:rsidRDefault="00DC0E71" w:rsidP="002050DE">
            <w:pPr>
              <w:jc w:val="right"/>
              <w:cnfStyle w:val="000000000000"/>
            </w:pPr>
            <w:r>
              <w:t>322</w:t>
            </w:r>
          </w:p>
        </w:tc>
        <w:tc>
          <w:tcPr>
            <w:tcW w:w="1609" w:type="dxa"/>
          </w:tcPr>
          <w:p w:rsidR="00CB2732" w:rsidRDefault="00590818" w:rsidP="002050DE">
            <w:pPr>
              <w:jc w:val="right"/>
              <w:cnfStyle w:val="000000000000"/>
            </w:pPr>
            <w:r>
              <w:t>312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CB2732" w:rsidRDefault="003E02D7" w:rsidP="002050DE">
            <w:r>
              <w:t>3,250</w:t>
            </w:r>
            <w:r w:rsidR="0002457D">
              <w:t xml:space="preserve"> </w:t>
            </w:r>
            <w:r w:rsidR="00BD28BB">
              <w:t xml:space="preserve">   </w:t>
            </w:r>
            <w:r w:rsidR="00957003">
              <w:t>-</w:t>
            </w:r>
            <w:r w:rsidR="0002457D">
              <w:t xml:space="preserve"> </w:t>
            </w:r>
            <w:r w:rsidR="00BD28BB">
              <w:t xml:space="preserve">    </w:t>
            </w:r>
            <w:r w:rsidR="0002457D">
              <w:t xml:space="preserve"> </w:t>
            </w:r>
            <w:r w:rsidR="00957003">
              <w:t>3,749.99</w:t>
            </w:r>
          </w:p>
        </w:tc>
        <w:tc>
          <w:tcPr>
            <w:tcW w:w="1123" w:type="dxa"/>
          </w:tcPr>
          <w:p w:rsidR="00CB2732" w:rsidRDefault="003E02D7" w:rsidP="002050DE">
            <w:pPr>
              <w:jc w:val="right"/>
              <w:cnfStyle w:val="000000100000"/>
            </w:pPr>
            <w:r>
              <w:t>3,500</w:t>
            </w:r>
          </w:p>
        </w:tc>
        <w:tc>
          <w:tcPr>
            <w:tcW w:w="996" w:type="dxa"/>
          </w:tcPr>
          <w:p w:rsidR="00CB2732" w:rsidRDefault="00DD11A6" w:rsidP="002050DE">
            <w:pPr>
              <w:jc w:val="right"/>
              <w:cnfStyle w:val="000000100000"/>
            </w:pPr>
            <w:r>
              <w:t>247.30</w:t>
            </w:r>
          </w:p>
        </w:tc>
        <w:tc>
          <w:tcPr>
            <w:tcW w:w="894" w:type="dxa"/>
          </w:tcPr>
          <w:p w:rsidR="00CB2732" w:rsidRDefault="00D649FA" w:rsidP="002050DE">
            <w:pPr>
              <w:jc w:val="right"/>
              <w:cnfStyle w:val="000000100000"/>
            </w:pPr>
            <w:r>
              <w:t>116.70</w:t>
            </w:r>
          </w:p>
        </w:tc>
        <w:tc>
          <w:tcPr>
            <w:tcW w:w="805" w:type="dxa"/>
          </w:tcPr>
          <w:p w:rsidR="00CB2732" w:rsidRDefault="00352162" w:rsidP="002050DE">
            <w:pPr>
              <w:jc w:val="right"/>
              <w:cnfStyle w:val="000000100000"/>
            </w:pPr>
            <w:r>
              <w:t>364</w:t>
            </w:r>
          </w:p>
        </w:tc>
        <w:tc>
          <w:tcPr>
            <w:tcW w:w="552" w:type="dxa"/>
          </w:tcPr>
          <w:p w:rsidR="00CB2732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CB2732" w:rsidRDefault="00664A94" w:rsidP="002050DE">
            <w:pPr>
              <w:jc w:val="right"/>
              <w:cnfStyle w:val="000000100000"/>
            </w:pPr>
            <w:r>
              <w:t>257.30</w:t>
            </w:r>
          </w:p>
        </w:tc>
        <w:tc>
          <w:tcPr>
            <w:tcW w:w="889" w:type="dxa"/>
          </w:tcPr>
          <w:p w:rsidR="00CB2732" w:rsidRDefault="00DC0E71" w:rsidP="002050DE">
            <w:pPr>
              <w:jc w:val="right"/>
              <w:cnfStyle w:val="000000100000"/>
            </w:pPr>
            <w:r>
              <w:t>116.70</w:t>
            </w:r>
          </w:p>
        </w:tc>
        <w:tc>
          <w:tcPr>
            <w:tcW w:w="875" w:type="dxa"/>
          </w:tcPr>
          <w:p w:rsidR="00CB2732" w:rsidRDefault="00DC0E71" w:rsidP="002050DE">
            <w:pPr>
              <w:jc w:val="right"/>
              <w:cnfStyle w:val="000000100000"/>
            </w:pPr>
            <w:r>
              <w:t>374</w:t>
            </w:r>
          </w:p>
        </w:tc>
        <w:tc>
          <w:tcPr>
            <w:tcW w:w="1609" w:type="dxa"/>
          </w:tcPr>
          <w:p w:rsidR="00CB2732" w:rsidRDefault="00590818" w:rsidP="002050DE">
            <w:pPr>
              <w:jc w:val="right"/>
              <w:cnfStyle w:val="000000100000"/>
            </w:pPr>
            <w:r>
              <w:t>364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3,750</w:t>
            </w:r>
            <w:r w:rsidR="0002457D">
              <w:t xml:space="preserve"> </w:t>
            </w:r>
            <w:r w:rsidR="00BD28BB">
              <w:t xml:space="preserve">   </w:t>
            </w:r>
            <w:r w:rsidR="00957003">
              <w:t>-</w:t>
            </w:r>
            <w:r w:rsidR="00BD28BB">
              <w:t xml:space="preserve">    </w:t>
            </w:r>
            <w:r w:rsidR="0002457D">
              <w:t xml:space="preserve">  </w:t>
            </w:r>
            <w:r w:rsidR="00957003">
              <w:t>4,249.99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4,000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282.70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133.30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416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292.70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133.30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426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416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0E3B60" w:rsidRDefault="003E02D7" w:rsidP="002050DE">
            <w:r>
              <w:t>4,250</w:t>
            </w:r>
            <w:r w:rsidR="00BD28BB">
              <w:t xml:space="preserve">   </w:t>
            </w:r>
            <w:r w:rsidR="0002457D">
              <w:t xml:space="preserve"> </w:t>
            </w:r>
            <w:r w:rsidR="00957003">
              <w:t>-</w:t>
            </w:r>
            <w:r w:rsidR="0002457D">
              <w:t xml:space="preserve"> </w:t>
            </w:r>
            <w:r w:rsidR="00BD28BB">
              <w:t xml:space="preserve">   </w:t>
            </w:r>
            <w:r w:rsidR="0002457D">
              <w:t xml:space="preserve"> </w:t>
            </w:r>
            <w:r w:rsidR="00BD28BB">
              <w:t xml:space="preserve"> </w:t>
            </w:r>
            <w:r w:rsidR="00957003">
              <w:t>4,749.99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100000"/>
            </w:pPr>
            <w:r>
              <w:t>4,500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100000"/>
            </w:pPr>
            <w:r>
              <w:t>318.00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100000"/>
            </w:pPr>
            <w:r>
              <w:t>150.00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100000"/>
            </w:pPr>
            <w:r>
              <w:t>468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100000"/>
            </w:pPr>
            <w:r>
              <w:t>328.00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150.00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478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100000"/>
            </w:pPr>
            <w:r>
              <w:t>468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4,750</w:t>
            </w:r>
            <w:r w:rsidR="0002457D">
              <w:t xml:space="preserve"> </w:t>
            </w:r>
            <w:r w:rsidR="00BD28BB">
              <w:t xml:space="preserve">   </w:t>
            </w:r>
            <w:r w:rsidR="00957003">
              <w:t>-</w:t>
            </w:r>
            <w:r w:rsidR="0002457D">
              <w:t xml:space="preserve"> </w:t>
            </w:r>
            <w:r w:rsidR="00BD28BB">
              <w:t xml:space="preserve">    </w:t>
            </w:r>
            <w:r w:rsidR="0002457D">
              <w:t xml:space="preserve"> </w:t>
            </w:r>
            <w:r w:rsidR="00957003">
              <w:t>5,249.99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5,000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353.30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166.70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520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363.30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166.70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530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520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0E3B60" w:rsidRDefault="003E02D7" w:rsidP="002050DE">
            <w:r>
              <w:t>5,250</w:t>
            </w:r>
            <w:r w:rsidR="0002457D">
              <w:t xml:space="preserve"> </w:t>
            </w:r>
            <w:r w:rsidR="00BD28BB">
              <w:t xml:space="preserve">   </w:t>
            </w:r>
            <w:r w:rsidR="00957003">
              <w:t>-</w:t>
            </w:r>
            <w:r w:rsidR="00BD28BB">
              <w:t xml:space="preserve">    </w:t>
            </w:r>
            <w:r w:rsidR="0002457D">
              <w:t xml:space="preserve">  </w:t>
            </w:r>
            <w:r w:rsidR="007253F6">
              <w:t>5,749.99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100000"/>
            </w:pPr>
            <w:r>
              <w:t>5,500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100000"/>
            </w:pPr>
            <w:r>
              <w:t>388.70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100000"/>
            </w:pPr>
            <w:r>
              <w:t>183.30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100000"/>
            </w:pPr>
            <w:r>
              <w:t>572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100000"/>
            </w:pPr>
            <w:r>
              <w:t>398.70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183.30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582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100000"/>
            </w:pPr>
            <w:r>
              <w:t>572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5,750</w:t>
            </w:r>
            <w:r w:rsidR="0002457D">
              <w:t xml:space="preserve"> </w:t>
            </w:r>
            <w:r w:rsidR="00BD28BB">
              <w:t xml:space="preserve">   </w:t>
            </w:r>
            <w:r w:rsidR="007253F6">
              <w:t>-</w:t>
            </w:r>
            <w:r w:rsidR="0002457D">
              <w:t xml:space="preserve"> </w:t>
            </w:r>
            <w:r w:rsidR="00BD28BB">
              <w:t xml:space="preserve">    </w:t>
            </w:r>
            <w:r w:rsidR="0002457D">
              <w:t xml:space="preserve"> </w:t>
            </w:r>
            <w:r w:rsidR="007253F6">
              <w:t>6,249.99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6,000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424.00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200.00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624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434.00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200.00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634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624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0E3B60" w:rsidRDefault="003E02D7" w:rsidP="002050DE">
            <w:r>
              <w:t>6,250</w:t>
            </w:r>
            <w:r w:rsidR="0002457D">
              <w:t xml:space="preserve"> </w:t>
            </w:r>
            <w:r w:rsidR="00BD28BB">
              <w:t xml:space="preserve">   </w:t>
            </w:r>
            <w:r w:rsidR="007253F6">
              <w:t>-</w:t>
            </w:r>
            <w:r w:rsidR="00BD28BB">
              <w:t xml:space="preserve">    </w:t>
            </w:r>
            <w:r w:rsidR="0002457D">
              <w:t xml:space="preserve">  </w:t>
            </w:r>
            <w:r w:rsidR="007253F6">
              <w:t>6,749.99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100000"/>
            </w:pPr>
            <w:r>
              <w:t>6,500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100000"/>
            </w:pPr>
            <w:r>
              <w:t>459.30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100000"/>
            </w:pPr>
            <w:r>
              <w:t>216.70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100000"/>
            </w:pPr>
            <w:r>
              <w:t>676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100000"/>
            </w:pPr>
            <w:r>
              <w:t>469.30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216.70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686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100000"/>
            </w:pPr>
            <w:r>
              <w:t>676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6,750</w:t>
            </w:r>
            <w:r w:rsidR="0002457D">
              <w:t xml:space="preserve"> </w:t>
            </w:r>
            <w:r w:rsidR="00BD28BB">
              <w:t xml:space="preserve">   </w:t>
            </w:r>
            <w:r w:rsidR="007253F6">
              <w:t>-</w:t>
            </w:r>
            <w:r w:rsidR="0002457D">
              <w:t xml:space="preserve"> </w:t>
            </w:r>
            <w:r w:rsidR="00BD28BB">
              <w:t xml:space="preserve">    </w:t>
            </w:r>
            <w:r w:rsidR="0002457D">
              <w:t xml:space="preserve"> </w:t>
            </w:r>
            <w:r w:rsidR="007253F6">
              <w:t>7,249.99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7,000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494.70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233.30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728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504.70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233.30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738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728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0E3B60" w:rsidRDefault="003E02D7" w:rsidP="002050DE">
            <w:r>
              <w:t>7,250</w:t>
            </w:r>
            <w:r w:rsidR="0002457D">
              <w:t xml:space="preserve"> </w:t>
            </w:r>
            <w:r w:rsidR="00BD28BB">
              <w:t xml:space="preserve">   </w:t>
            </w:r>
            <w:r w:rsidR="007253F6">
              <w:t>-</w:t>
            </w:r>
            <w:r w:rsidR="00BD28BB">
              <w:t xml:space="preserve">    </w:t>
            </w:r>
            <w:r w:rsidR="0002457D">
              <w:t xml:space="preserve">  </w:t>
            </w:r>
            <w:r w:rsidR="007253F6">
              <w:t>7,749.99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100000"/>
            </w:pPr>
            <w:r>
              <w:t>7,500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100000"/>
            </w:pPr>
            <w:r>
              <w:t>530.00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100000"/>
            </w:pPr>
            <w:r>
              <w:t>250.00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100000"/>
            </w:pPr>
            <w:r>
              <w:t>780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100000"/>
            </w:pPr>
            <w:r>
              <w:t>540.00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250.00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790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100000"/>
            </w:pPr>
            <w:r>
              <w:t>780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7,750</w:t>
            </w:r>
            <w:r w:rsidR="0002457D">
              <w:t xml:space="preserve"> </w:t>
            </w:r>
            <w:r w:rsidR="00BD28BB">
              <w:t xml:space="preserve">   </w:t>
            </w:r>
            <w:r w:rsidR="007253F6">
              <w:t>-</w:t>
            </w:r>
            <w:r w:rsidR="00BD28BB">
              <w:t xml:space="preserve">    </w:t>
            </w:r>
            <w:r w:rsidR="0002457D">
              <w:t xml:space="preserve">  </w:t>
            </w:r>
            <w:r w:rsidR="007253F6">
              <w:t>8,249.99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8,000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565.30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266.70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832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575.30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266.70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842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832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0E3B60" w:rsidRDefault="003E02D7" w:rsidP="002050DE">
            <w:r>
              <w:t>8,250</w:t>
            </w:r>
            <w:r w:rsidR="0002457D">
              <w:t xml:space="preserve"> </w:t>
            </w:r>
            <w:r w:rsidR="00BD28BB">
              <w:t xml:space="preserve">   </w:t>
            </w:r>
            <w:r w:rsidR="007253F6">
              <w:t>-</w:t>
            </w:r>
            <w:r w:rsidR="0002457D">
              <w:t xml:space="preserve"> </w:t>
            </w:r>
            <w:r w:rsidR="00BD28BB">
              <w:t xml:space="preserve">    </w:t>
            </w:r>
            <w:r w:rsidR="0002457D">
              <w:t xml:space="preserve"> </w:t>
            </w:r>
            <w:r w:rsidR="007253F6">
              <w:t>8,749.99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100000"/>
            </w:pPr>
            <w:r>
              <w:t>8,500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100000"/>
            </w:pPr>
            <w:r>
              <w:t>600.70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100000"/>
            </w:pPr>
            <w:r>
              <w:t>283.30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100000"/>
            </w:pPr>
            <w:r>
              <w:t>884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100000"/>
            </w:pPr>
            <w:r>
              <w:t>610.70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283.30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894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100000"/>
            </w:pPr>
            <w:r>
              <w:t>884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8,750</w:t>
            </w:r>
            <w:r w:rsidR="00BD28BB">
              <w:t xml:space="preserve">   </w:t>
            </w:r>
            <w:r w:rsidR="0002457D">
              <w:t xml:space="preserve"> </w:t>
            </w:r>
            <w:r w:rsidR="007253F6">
              <w:t>-</w:t>
            </w:r>
            <w:r w:rsidR="00BD28BB">
              <w:t xml:space="preserve"> </w:t>
            </w:r>
            <w:r w:rsidR="0002457D">
              <w:t xml:space="preserve"> </w:t>
            </w:r>
            <w:r w:rsidR="00BD28BB">
              <w:t xml:space="preserve">    </w:t>
            </w:r>
            <w:r w:rsidR="007253F6">
              <w:t>9,249.99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9,000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636.00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300.00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936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646.00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300.00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946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936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0E3B60" w:rsidRDefault="003E02D7" w:rsidP="002050DE">
            <w:r>
              <w:t>9,250</w:t>
            </w:r>
            <w:r w:rsidR="0002457D">
              <w:t xml:space="preserve"> </w:t>
            </w:r>
            <w:r w:rsidR="00BD28BB">
              <w:t xml:space="preserve">   </w:t>
            </w:r>
            <w:r w:rsidR="007253F6">
              <w:t>-</w:t>
            </w:r>
            <w:r w:rsidR="0002457D">
              <w:t xml:space="preserve"> </w:t>
            </w:r>
            <w:r w:rsidR="00BD28BB">
              <w:t xml:space="preserve">    </w:t>
            </w:r>
            <w:r w:rsidR="0002457D">
              <w:t xml:space="preserve"> </w:t>
            </w:r>
            <w:r w:rsidR="007253F6">
              <w:t>9,749.99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100000"/>
            </w:pPr>
            <w:r>
              <w:t>9,500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100000"/>
            </w:pPr>
            <w:r>
              <w:t>671.30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100000"/>
            </w:pPr>
            <w:r>
              <w:t>316.70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100000"/>
            </w:pPr>
            <w:r>
              <w:t>988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100000"/>
            </w:pPr>
            <w:r>
              <w:t>681.30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316.70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998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100000"/>
            </w:pPr>
            <w:r>
              <w:t>988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9,750</w:t>
            </w:r>
            <w:r w:rsidR="0002457D">
              <w:t xml:space="preserve"> </w:t>
            </w:r>
            <w:r w:rsidR="00BD28BB">
              <w:t xml:space="preserve">   </w:t>
            </w:r>
            <w:r w:rsidR="007253F6">
              <w:t>-</w:t>
            </w:r>
            <w:r w:rsidR="00786263">
              <w:t xml:space="preserve">   </w:t>
            </w:r>
            <w:r w:rsidR="007253F6">
              <w:t>10,249.99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10,000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706.70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333.30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1,040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716.70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333.30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1,050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1,040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0E3B60" w:rsidRDefault="003E02D7" w:rsidP="002050DE">
            <w:r>
              <w:t>10,250</w:t>
            </w:r>
            <w:r w:rsidR="00BD28BB">
              <w:t xml:space="preserve">  </w:t>
            </w:r>
            <w:r w:rsidR="007253F6">
              <w:t>-</w:t>
            </w:r>
            <w:r w:rsidR="00BD28BB">
              <w:t xml:space="preserve">   </w:t>
            </w:r>
            <w:r w:rsidR="007253F6">
              <w:t>10,749.99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100000"/>
            </w:pPr>
            <w:r>
              <w:t>10,500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100000"/>
            </w:pPr>
            <w:r>
              <w:t>742.00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100000"/>
            </w:pPr>
            <w:r>
              <w:t>350.00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100000"/>
            </w:pPr>
            <w:r>
              <w:t>1,092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100000"/>
            </w:pPr>
            <w:r>
              <w:t>752.00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350.00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1,102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100000"/>
            </w:pPr>
            <w:r>
              <w:t>1,092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10,750</w:t>
            </w:r>
            <w:r w:rsidR="00BD28BB">
              <w:t xml:space="preserve">  </w:t>
            </w:r>
            <w:r w:rsidR="007253F6">
              <w:t>-</w:t>
            </w:r>
            <w:r w:rsidR="00BD28BB">
              <w:t xml:space="preserve">   </w:t>
            </w:r>
            <w:r w:rsidR="007253F6">
              <w:t>11,249.99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11,000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777.30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366.70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1,144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787.30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366.70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1,154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1,144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0E3B60" w:rsidRDefault="003E02D7" w:rsidP="002050DE">
            <w:r>
              <w:t>11,250</w:t>
            </w:r>
            <w:r w:rsidR="00BD28BB">
              <w:t xml:space="preserve">  </w:t>
            </w:r>
            <w:r w:rsidR="007253F6">
              <w:t>-</w:t>
            </w:r>
            <w:r w:rsidR="00BD28BB">
              <w:t xml:space="preserve">   </w:t>
            </w:r>
            <w:r w:rsidR="007253F6">
              <w:t>11,749.99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100000"/>
            </w:pPr>
            <w:r>
              <w:t>11,500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100000"/>
            </w:pPr>
            <w:r>
              <w:t>812.70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100000"/>
            </w:pPr>
            <w:r>
              <w:t>383.30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100000"/>
            </w:pPr>
            <w:r>
              <w:t>1,196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100000"/>
            </w:pPr>
            <w:r>
              <w:t>822.70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383.30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1,206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100000"/>
            </w:pPr>
            <w:r>
              <w:t>1,196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11,750</w:t>
            </w:r>
            <w:r w:rsidR="00BD28BB">
              <w:t xml:space="preserve">  </w:t>
            </w:r>
            <w:r w:rsidR="007253F6">
              <w:t>-</w:t>
            </w:r>
            <w:r w:rsidR="00BD28BB">
              <w:t xml:space="preserve">   </w:t>
            </w:r>
            <w:r w:rsidR="007253F6">
              <w:t>12,249.99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12,000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848.00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400.00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1,248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858.00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400.00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1,258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1,248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0E3B60" w:rsidRDefault="003E02D7" w:rsidP="002050DE">
            <w:r>
              <w:t>12,250</w:t>
            </w:r>
            <w:r w:rsidR="00BD28BB">
              <w:t xml:space="preserve">  </w:t>
            </w:r>
            <w:r w:rsidR="007253F6">
              <w:t>-</w:t>
            </w:r>
            <w:r w:rsidR="00BD28BB">
              <w:t xml:space="preserve">   </w:t>
            </w:r>
            <w:r w:rsidR="007253F6">
              <w:t>12,749.99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100000"/>
            </w:pPr>
            <w:r>
              <w:t>12,500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100000"/>
            </w:pPr>
            <w:r>
              <w:t>883.30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100000"/>
            </w:pPr>
            <w:r>
              <w:t>416.70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100000"/>
            </w:pPr>
            <w:r>
              <w:t>1,300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100000"/>
            </w:pPr>
            <w:r>
              <w:t>893.30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416.70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1,310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100000"/>
            </w:pPr>
            <w:r>
              <w:t>1,300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12,750</w:t>
            </w:r>
            <w:r w:rsidR="00BD28BB">
              <w:t xml:space="preserve">  </w:t>
            </w:r>
            <w:r w:rsidR="007253F6">
              <w:t>-</w:t>
            </w:r>
            <w:r w:rsidR="00BD28BB">
              <w:t xml:space="preserve">   </w:t>
            </w:r>
            <w:r w:rsidR="007253F6">
              <w:t>13,249.99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13,000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918.70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433.30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1,352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928.70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433.30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1,362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1,352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0E3B60" w:rsidRDefault="003E02D7" w:rsidP="002050DE">
            <w:r>
              <w:t>13,250</w:t>
            </w:r>
            <w:r w:rsidR="00BD28BB">
              <w:t xml:space="preserve">  </w:t>
            </w:r>
            <w:r w:rsidR="007253F6">
              <w:t>-</w:t>
            </w:r>
            <w:r w:rsidR="00BD28BB">
              <w:t xml:space="preserve">   </w:t>
            </w:r>
            <w:r w:rsidR="007253F6">
              <w:t>13,749.99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100000"/>
            </w:pPr>
            <w:r>
              <w:t>13,500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100000"/>
            </w:pPr>
            <w:r>
              <w:t>954.00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100000"/>
            </w:pPr>
            <w:r>
              <w:t>450.00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100000"/>
            </w:pPr>
            <w:r>
              <w:t>1,404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100000"/>
            </w:pPr>
            <w:r>
              <w:t>964.00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450.00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1,414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100000"/>
            </w:pPr>
            <w:r>
              <w:t>1,404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13,750</w:t>
            </w:r>
            <w:r w:rsidR="00BD28BB">
              <w:t xml:space="preserve">  </w:t>
            </w:r>
            <w:r w:rsidR="007253F6">
              <w:t>-</w:t>
            </w:r>
            <w:r w:rsidR="00BD28BB">
              <w:t xml:space="preserve">   </w:t>
            </w:r>
            <w:r w:rsidR="007253F6">
              <w:t>14,249.99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14,000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989.30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466.70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1,456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0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999.30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466.70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1,466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1,456</w:t>
            </w:r>
          </w:p>
        </w:tc>
      </w:tr>
      <w:tr w:rsidR="00786263" w:rsidTr="002050DE">
        <w:trPr>
          <w:cnfStyle w:val="000000100000"/>
        </w:trPr>
        <w:tc>
          <w:tcPr>
            <w:cnfStyle w:val="001000000000"/>
            <w:tcW w:w="2079" w:type="dxa"/>
          </w:tcPr>
          <w:p w:rsidR="000E3B60" w:rsidRDefault="003E02D7" w:rsidP="002050DE">
            <w:r>
              <w:t>14,250</w:t>
            </w:r>
            <w:r w:rsidR="00BD28BB">
              <w:t xml:space="preserve">  </w:t>
            </w:r>
            <w:r w:rsidR="007253F6">
              <w:t>-</w:t>
            </w:r>
            <w:r w:rsidR="00BD28BB">
              <w:t xml:space="preserve">   </w:t>
            </w:r>
            <w:r w:rsidR="007253F6">
              <w:t>14,749.99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100000"/>
            </w:pPr>
            <w:r>
              <w:t>14,500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100000"/>
            </w:pPr>
            <w:r>
              <w:t>1,024.70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100000"/>
            </w:pPr>
            <w:r>
              <w:t>483.30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100000"/>
            </w:pPr>
            <w:r>
              <w:t>1,508</w:t>
            </w:r>
          </w:p>
        </w:tc>
        <w:tc>
          <w:tcPr>
            <w:tcW w:w="552" w:type="dxa"/>
          </w:tcPr>
          <w:p w:rsidR="000E3B60" w:rsidRDefault="008D69F7" w:rsidP="002050DE">
            <w:pPr>
              <w:jc w:val="right"/>
              <w:cnfStyle w:val="000000100000"/>
            </w:pPr>
            <w:r>
              <w:t>10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100000"/>
            </w:pPr>
            <w:r>
              <w:t>1,034.70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483.30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100000"/>
            </w:pPr>
            <w:r>
              <w:t>1,518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100000"/>
            </w:pPr>
            <w:r>
              <w:t>1,508</w:t>
            </w:r>
          </w:p>
        </w:tc>
      </w:tr>
      <w:tr w:rsidR="00786263" w:rsidTr="002050DE">
        <w:tc>
          <w:tcPr>
            <w:cnfStyle w:val="001000000000"/>
            <w:tcW w:w="2079" w:type="dxa"/>
          </w:tcPr>
          <w:p w:rsidR="000E3B60" w:rsidRDefault="003E02D7" w:rsidP="002050DE">
            <w:r>
              <w:t>14,750</w:t>
            </w:r>
            <w:r w:rsidR="00133F2D">
              <w:t xml:space="preserve"> </w:t>
            </w:r>
            <w:r w:rsidR="007253F6">
              <w:t>-</w:t>
            </w:r>
            <w:r w:rsidR="00133F2D">
              <w:t xml:space="preserve">             </w:t>
            </w:r>
            <w:r w:rsidR="00A322A2">
              <w:t>over</w:t>
            </w:r>
          </w:p>
        </w:tc>
        <w:tc>
          <w:tcPr>
            <w:tcW w:w="1123" w:type="dxa"/>
          </w:tcPr>
          <w:p w:rsidR="000E3B60" w:rsidRDefault="003E02D7" w:rsidP="002050DE">
            <w:pPr>
              <w:jc w:val="right"/>
              <w:cnfStyle w:val="000000000000"/>
            </w:pPr>
            <w:r>
              <w:t>15,000</w:t>
            </w:r>
          </w:p>
        </w:tc>
        <w:tc>
          <w:tcPr>
            <w:tcW w:w="996" w:type="dxa"/>
          </w:tcPr>
          <w:p w:rsidR="000E3B60" w:rsidRDefault="00DD11A6" w:rsidP="002050DE">
            <w:pPr>
              <w:jc w:val="right"/>
              <w:cnfStyle w:val="000000000000"/>
            </w:pPr>
            <w:r>
              <w:t>1,060</w:t>
            </w:r>
          </w:p>
        </w:tc>
        <w:tc>
          <w:tcPr>
            <w:tcW w:w="894" w:type="dxa"/>
          </w:tcPr>
          <w:p w:rsidR="000E3B60" w:rsidRDefault="00D649FA" w:rsidP="002050DE">
            <w:pPr>
              <w:jc w:val="right"/>
              <w:cnfStyle w:val="000000000000"/>
            </w:pPr>
            <w:r>
              <w:t>500.00</w:t>
            </w:r>
          </w:p>
        </w:tc>
        <w:tc>
          <w:tcPr>
            <w:tcW w:w="805" w:type="dxa"/>
          </w:tcPr>
          <w:p w:rsidR="000E3B60" w:rsidRDefault="00352162" w:rsidP="002050DE">
            <w:pPr>
              <w:jc w:val="right"/>
              <w:cnfStyle w:val="000000000000"/>
            </w:pPr>
            <w:r>
              <w:t>1,560</w:t>
            </w:r>
          </w:p>
        </w:tc>
        <w:tc>
          <w:tcPr>
            <w:tcW w:w="552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30</w:t>
            </w:r>
          </w:p>
        </w:tc>
        <w:tc>
          <w:tcPr>
            <w:tcW w:w="996" w:type="dxa"/>
          </w:tcPr>
          <w:p w:rsidR="000E3B60" w:rsidRDefault="00664A94" w:rsidP="002050DE">
            <w:pPr>
              <w:jc w:val="right"/>
              <w:cnfStyle w:val="000000000000"/>
            </w:pPr>
            <w:r>
              <w:t>1,090.00</w:t>
            </w:r>
          </w:p>
        </w:tc>
        <w:tc>
          <w:tcPr>
            <w:tcW w:w="889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500.00</w:t>
            </w:r>
          </w:p>
        </w:tc>
        <w:tc>
          <w:tcPr>
            <w:tcW w:w="875" w:type="dxa"/>
          </w:tcPr>
          <w:p w:rsidR="000E3B60" w:rsidRDefault="00DC0E71" w:rsidP="002050DE">
            <w:pPr>
              <w:jc w:val="right"/>
              <w:cnfStyle w:val="000000000000"/>
            </w:pPr>
            <w:r>
              <w:t>1,590</w:t>
            </w:r>
          </w:p>
        </w:tc>
        <w:tc>
          <w:tcPr>
            <w:tcW w:w="1609" w:type="dxa"/>
          </w:tcPr>
          <w:p w:rsidR="000E3B60" w:rsidRDefault="00590818" w:rsidP="002050DE">
            <w:pPr>
              <w:jc w:val="right"/>
              <w:cnfStyle w:val="000000000000"/>
            </w:pPr>
            <w:r>
              <w:t>1,560</w:t>
            </w:r>
          </w:p>
        </w:tc>
      </w:tr>
    </w:tbl>
    <w:p w:rsidR="00303F1F" w:rsidRDefault="00190705" w:rsidP="00971B0D">
      <w:pPr>
        <w:jc w:val="center"/>
        <w:rPr>
          <w:sz w:val="18"/>
        </w:rPr>
      </w:pPr>
      <w:r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6.75pt;margin-top:-7.5pt;width:540pt;height:33.75pt;z-index:251660288;mso-position-horizontal-relative:text;mso-position-vertical-relative:text" fillcolor="#7dc2d3 [1940]" strokecolor="#7dc2d3 [1940]" strokeweight="1pt">
            <v:fill color2="#d3eaf0 [660]" angle="-45" focus="-50%" type="gradient"/>
            <v:shadow on="t" type="perspective" color="#1c4853 [1604]" opacity=".5" offset="1pt" offset2="-3pt"/>
            <v:textbox style="mso-next-textbox:#_x0000_s1027">
              <w:txbxContent>
                <w:p w:rsidR="002F790E" w:rsidRPr="002050DE" w:rsidRDefault="002F790E" w:rsidP="002050DE">
                  <w:pPr>
                    <w:jc w:val="center"/>
                    <w:rPr>
                      <w:b/>
                      <w:sz w:val="40"/>
                    </w:rPr>
                  </w:pPr>
                  <w:r w:rsidRPr="002050DE">
                    <w:rPr>
                      <w:b/>
                      <w:sz w:val="40"/>
                    </w:rPr>
                    <w:t>SOCIAL SECURITY SYSTEM</w:t>
                  </w:r>
                </w:p>
              </w:txbxContent>
            </v:textbox>
          </v:shape>
        </w:pict>
      </w:r>
      <w:r w:rsidR="002050DE" w:rsidRPr="00CC37C0">
        <w:rPr>
          <w:sz w:val="18"/>
        </w:rPr>
        <w:t xml:space="preserve">*The minimum monthly salary credit for OFW-members is </w:t>
      </w:r>
      <w:proofErr w:type="spellStart"/>
      <w:r w:rsidR="002050DE" w:rsidRPr="00CC37C0">
        <w:rPr>
          <w:sz w:val="18"/>
        </w:rPr>
        <w:t>Php</w:t>
      </w:r>
      <w:proofErr w:type="spellEnd"/>
      <w:r w:rsidR="002050DE" w:rsidRPr="00CC37C0">
        <w:rPr>
          <w:sz w:val="18"/>
        </w:rPr>
        <w:t xml:space="preserve"> 5,000.00</w:t>
      </w:r>
      <w:r w:rsidR="002050DE">
        <w:rPr>
          <w:sz w:val="18"/>
        </w:rPr>
        <w:t xml:space="preserve">                               Issued 15</w:t>
      </w:r>
      <w:r w:rsidR="002050DE" w:rsidRPr="00EF7899">
        <w:rPr>
          <w:sz w:val="18"/>
          <w:vertAlign w:val="superscript"/>
        </w:rPr>
        <w:t>th</w:t>
      </w:r>
      <w:r w:rsidR="002050DE">
        <w:rPr>
          <w:sz w:val="18"/>
        </w:rPr>
        <w:t xml:space="preserve"> day of November </w:t>
      </w:r>
    </w:p>
    <w:p w:rsidR="00303F1F" w:rsidRDefault="00303F1F" w:rsidP="00971B0D">
      <w:pPr>
        <w:jc w:val="center"/>
        <w:rPr>
          <w:sz w:val="18"/>
        </w:rPr>
      </w:pPr>
    </w:p>
    <w:p w:rsidR="00303F1F" w:rsidRDefault="00303F1F" w:rsidP="00971B0D">
      <w:pPr>
        <w:jc w:val="center"/>
        <w:rPr>
          <w:sz w:val="18"/>
        </w:rPr>
      </w:pPr>
    </w:p>
    <w:p w:rsidR="00303F1F" w:rsidRDefault="00303F1F" w:rsidP="00303F1F">
      <w:pPr>
        <w:tabs>
          <w:tab w:val="left" w:pos="4215"/>
        </w:tabs>
        <w:rPr>
          <w:sz w:val="18"/>
        </w:rPr>
      </w:pPr>
    </w:p>
    <w:p w:rsidR="00303F1F" w:rsidRPr="002050DE" w:rsidRDefault="00303F1F" w:rsidP="002050DE">
      <w:pPr>
        <w:rPr>
          <w:sz w:val="18"/>
        </w:rPr>
      </w:pPr>
    </w:p>
    <w:p w:rsidR="002050DE" w:rsidRDefault="005D7C6A" w:rsidP="005D7C6A">
      <w:pPr>
        <w:jc w:val="right"/>
        <w:rPr>
          <w:b/>
          <w:sz w:val="18"/>
        </w:rPr>
      </w:pPr>
      <w:r>
        <w:rPr>
          <w:sz w:val="18"/>
        </w:rPr>
        <w:t xml:space="preserve">                                                                                         </w:t>
      </w:r>
      <w:r w:rsidR="00303F1F">
        <w:rPr>
          <w:sz w:val="18"/>
        </w:rPr>
        <w:t xml:space="preserve">                      </w:t>
      </w:r>
      <w:r>
        <w:rPr>
          <w:sz w:val="18"/>
        </w:rPr>
        <w:t xml:space="preserve">  </w:t>
      </w:r>
      <w:proofErr w:type="spellStart"/>
      <w:r w:rsidRPr="005D7C6A">
        <w:rPr>
          <w:b/>
          <w:sz w:val="18"/>
        </w:rPr>
        <w:t>LaView</w:t>
      </w:r>
      <w:proofErr w:type="spellEnd"/>
      <w:r w:rsidRPr="005D7C6A">
        <w:rPr>
          <w:b/>
          <w:sz w:val="18"/>
        </w:rPr>
        <w:t xml:space="preserve"> Security Philippines Incorporated</w:t>
      </w:r>
    </w:p>
    <w:p w:rsidR="003D395B" w:rsidRDefault="00190705" w:rsidP="005D7C6A">
      <w:pPr>
        <w:jc w:val="right"/>
        <w:rPr>
          <w:b/>
          <w:sz w:val="18"/>
        </w:rPr>
      </w:pPr>
      <w:r w:rsidRPr="00190705">
        <w:rPr>
          <w:noProof/>
          <w:sz w:val="18"/>
          <w:lang w:eastAsia="zh-TW"/>
        </w:rPr>
        <w:lastRenderedPageBreak/>
        <w:pict>
          <v:shape id="_x0000_s1029" type="#_x0000_t202" style="position:absolute;left:0;text-align:left;margin-left:-5.25pt;margin-top:-33.55pt;width:488.25pt;height:72.75pt;z-index:251662336;mso-width-relative:margin;mso-height-relative:margin" fillcolor="#fed36b [1941]" strokecolor="#feb80a [3205]" strokeweight="1pt">
            <v:fill color2="#feb80a [3205]" focus="50%" type="gradient"/>
            <v:shadow on="t" type="perspective" color="#825c00 [1605]" offset="1pt" offset2="-3pt"/>
            <v:textbox>
              <w:txbxContent>
                <w:p w:rsidR="002F790E" w:rsidRPr="006174FC" w:rsidRDefault="002F790E" w:rsidP="006174FC">
                  <w:pPr>
                    <w:pStyle w:val="NoSpacing"/>
                    <w:jc w:val="center"/>
                    <w:rPr>
                      <w:b/>
                      <w:sz w:val="72"/>
                    </w:rPr>
                  </w:pPr>
                  <w:r w:rsidRPr="006174FC">
                    <w:rPr>
                      <w:b/>
                      <w:sz w:val="72"/>
                    </w:rPr>
                    <w:t>Phil Health</w:t>
                  </w:r>
                </w:p>
                <w:p w:rsidR="002F790E" w:rsidRPr="006174FC" w:rsidRDefault="002F790E" w:rsidP="006174FC">
                  <w:pPr>
                    <w:pStyle w:val="NoSpacing"/>
                    <w:jc w:val="center"/>
                    <w:rPr>
                      <w:sz w:val="28"/>
                    </w:rPr>
                  </w:pPr>
                  <w:r w:rsidRPr="006174FC">
                    <w:rPr>
                      <w:sz w:val="28"/>
                    </w:rPr>
                    <w:t>Effective January 1, 2007</w:t>
                  </w:r>
                </w:p>
                <w:p w:rsidR="002F790E" w:rsidRDefault="002F790E" w:rsidP="006174FC">
                  <w:pPr>
                    <w:pStyle w:val="NoSpacing"/>
                    <w:jc w:val="center"/>
                  </w:pPr>
                </w:p>
                <w:p w:rsidR="002F790E" w:rsidRDefault="002F790E" w:rsidP="006174FC">
                  <w:pPr>
                    <w:pStyle w:val="NoSpacing"/>
                    <w:jc w:val="center"/>
                  </w:pPr>
                </w:p>
              </w:txbxContent>
            </v:textbox>
          </v:shape>
        </w:pict>
      </w:r>
    </w:p>
    <w:tbl>
      <w:tblPr>
        <w:tblStyle w:val="MediumGrid1-Accent2"/>
        <w:tblpPr w:leftFromText="180" w:rightFromText="180" w:vertAnchor="page" w:horzAnchor="margin" w:tblpY="3781"/>
        <w:tblW w:w="9812" w:type="dxa"/>
        <w:tblLook w:val="04A0"/>
      </w:tblPr>
      <w:tblGrid>
        <w:gridCol w:w="1275"/>
        <w:gridCol w:w="2108"/>
        <w:gridCol w:w="1577"/>
        <w:gridCol w:w="1584"/>
        <w:gridCol w:w="1579"/>
        <w:gridCol w:w="1689"/>
      </w:tblGrid>
      <w:tr w:rsidR="000F172D" w:rsidTr="006B0AD7">
        <w:trPr>
          <w:cnfStyle w:val="100000000000"/>
          <w:trHeight w:val="890"/>
        </w:trPr>
        <w:tc>
          <w:tcPr>
            <w:cnfStyle w:val="001000000000"/>
            <w:tcW w:w="1275" w:type="dxa"/>
          </w:tcPr>
          <w:p w:rsidR="00A612BF" w:rsidRDefault="00A612BF" w:rsidP="006B0AD7">
            <w:pPr>
              <w:jc w:val="center"/>
              <w:rPr>
                <w:sz w:val="18"/>
              </w:rPr>
            </w:pPr>
          </w:p>
          <w:p w:rsidR="003D395B" w:rsidRPr="00A612BF" w:rsidRDefault="003D395B" w:rsidP="006B0AD7">
            <w:pPr>
              <w:jc w:val="center"/>
              <w:rPr>
                <w:sz w:val="18"/>
              </w:rPr>
            </w:pPr>
            <w:r w:rsidRPr="00A612BF">
              <w:rPr>
                <w:sz w:val="18"/>
              </w:rPr>
              <w:t>Monthly Salary Bracket</w:t>
            </w:r>
          </w:p>
        </w:tc>
        <w:tc>
          <w:tcPr>
            <w:tcW w:w="2108" w:type="dxa"/>
          </w:tcPr>
          <w:p w:rsidR="00A612BF" w:rsidRDefault="00A612BF" w:rsidP="006B0AD7">
            <w:pPr>
              <w:jc w:val="center"/>
              <w:cnfStyle w:val="100000000000"/>
              <w:rPr>
                <w:sz w:val="18"/>
              </w:rPr>
            </w:pPr>
          </w:p>
          <w:p w:rsidR="00A612BF" w:rsidRDefault="00A612BF" w:rsidP="006B0AD7">
            <w:pPr>
              <w:jc w:val="center"/>
              <w:cnfStyle w:val="100000000000"/>
              <w:rPr>
                <w:sz w:val="18"/>
              </w:rPr>
            </w:pPr>
          </w:p>
          <w:p w:rsidR="003D395B" w:rsidRPr="00A612BF" w:rsidRDefault="003D395B" w:rsidP="006B0AD7">
            <w:pPr>
              <w:jc w:val="center"/>
              <w:cnfStyle w:val="100000000000"/>
              <w:rPr>
                <w:sz w:val="18"/>
              </w:rPr>
            </w:pPr>
            <w:r w:rsidRPr="00A612BF">
              <w:rPr>
                <w:sz w:val="18"/>
              </w:rPr>
              <w:t>Monthly Salary Range</w:t>
            </w:r>
          </w:p>
        </w:tc>
        <w:tc>
          <w:tcPr>
            <w:tcW w:w="1577" w:type="dxa"/>
          </w:tcPr>
          <w:p w:rsidR="00A612BF" w:rsidRDefault="00A612BF" w:rsidP="006B0AD7">
            <w:pPr>
              <w:jc w:val="center"/>
              <w:cnfStyle w:val="100000000000"/>
              <w:rPr>
                <w:sz w:val="18"/>
              </w:rPr>
            </w:pPr>
          </w:p>
          <w:p w:rsidR="00A612BF" w:rsidRDefault="00A612BF" w:rsidP="006B0AD7">
            <w:pPr>
              <w:jc w:val="center"/>
              <w:cnfStyle w:val="100000000000"/>
              <w:rPr>
                <w:sz w:val="18"/>
              </w:rPr>
            </w:pPr>
          </w:p>
          <w:p w:rsidR="003D395B" w:rsidRPr="00A612BF" w:rsidRDefault="003D395B" w:rsidP="006B0AD7">
            <w:pPr>
              <w:jc w:val="center"/>
              <w:cnfStyle w:val="100000000000"/>
              <w:rPr>
                <w:sz w:val="18"/>
              </w:rPr>
            </w:pPr>
            <w:r w:rsidRPr="00A612BF">
              <w:rPr>
                <w:sz w:val="18"/>
              </w:rPr>
              <w:t>Salary Base(SB)</w:t>
            </w:r>
          </w:p>
        </w:tc>
        <w:tc>
          <w:tcPr>
            <w:tcW w:w="1584" w:type="dxa"/>
          </w:tcPr>
          <w:p w:rsidR="00A612BF" w:rsidRDefault="00A612BF" w:rsidP="006B0AD7">
            <w:pPr>
              <w:jc w:val="center"/>
              <w:cnfStyle w:val="100000000000"/>
              <w:rPr>
                <w:sz w:val="18"/>
              </w:rPr>
            </w:pPr>
          </w:p>
          <w:p w:rsidR="003D395B" w:rsidRPr="00A612BF" w:rsidRDefault="003D395B" w:rsidP="006B0AD7">
            <w:pPr>
              <w:jc w:val="center"/>
              <w:cnfStyle w:val="100000000000"/>
              <w:rPr>
                <w:sz w:val="18"/>
              </w:rPr>
            </w:pPr>
            <w:r w:rsidRPr="00A612BF">
              <w:rPr>
                <w:sz w:val="18"/>
              </w:rPr>
              <w:t>Total Monthly Contribution</w:t>
            </w:r>
          </w:p>
        </w:tc>
        <w:tc>
          <w:tcPr>
            <w:tcW w:w="1579" w:type="dxa"/>
          </w:tcPr>
          <w:p w:rsidR="00A612BF" w:rsidRDefault="00A612BF" w:rsidP="006B0AD7">
            <w:pPr>
              <w:jc w:val="center"/>
              <w:cnfStyle w:val="100000000000"/>
              <w:rPr>
                <w:sz w:val="18"/>
              </w:rPr>
            </w:pPr>
          </w:p>
          <w:p w:rsidR="003D395B" w:rsidRPr="00A612BF" w:rsidRDefault="003D395B" w:rsidP="006B0AD7">
            <w:pPr>
              <w:jc w:val="center"/>
              <w:cnfStyle w:val="100000000000"/>
              <w:rPr>
                <w:sz w:val="18"/>
              </w:rPr>
            </w:pPr>
            <w:r w:rsidRPr="00A612BF">
              <w:rPr>
                <w:sz w:val="18"/>
              </w:rPr>
              <w:t>Employee Share (</w:t>
            </w:r>
            <w:proofErr w:type="spellStart"/>
            <w:r w:rsidRPr="00A612BF">
              <w:rPr>
                <w:sz w:val="18"/>
              </w:rPr>
              <w:t>EeS</w:t>
            </w:r>
            <w:proofErr w:type="spellEnd"/>
            <w:r w:rsidRPr="00A612BF">
              <w:rPr>
                <w:sz w:val="18"/>
              </w:rPr>
              <w:t>)</w:t>
            </w:r>
          </w:p>
          <w:p w:rsidR="003D395B" w:rsidRPr="00A612BF" w:rsidRDefault="006174FC" w:rsidP="006B0AD7">
            <w:pPr>
              <w:ind w:left="720" w:hanging="720"/>
              <w:jc w:val="center"/>
              <w:cnfStyle w:val="100000000000"/>
              <w:rPr>
                <w:sz w:val="18"/>
              </w:rPr>
            </w:pPr>
            <w:r w:rsidRPr="00A612BF">
              <w:rPr>
                <w:sz w:val="18"/>
              </w:rPr>
              <w:t>(</w:t>
            </w:r>
            <w:proofErr w:type="spellStart"/>
            <w:r w:rsidRPr="00A612BF">
              <w:rPr>
                <w:sz w:val="18"/>
              </w:rPr>
              <w:t>Ees</w:t>
            </w:r>
            <w:proofErr w:type="spellEnd"/>
            <w:r w:rsidRPr="00A612BF">
              <w:rPr>
                <w:sz w:val="18"/>
              </w:rPr>
              <w:t>=0.5x  TMC)</w:t>
            </w:r>
          </w:p>
        </w:tc>
        <w:tc>
          <w:tcPr>
            <w:tcW w:w="1689" w:type="dxa"/>
          </w:tcPr>
          <w:p w:rsidR="00A612BF" w:rsidRDefault="00A612BF" w:rsidP="006B0AD7">
            <w:pPr>
              <w:jc w:val="center"/>
              <w:cnfStyle w:val="100000000000"/>
              <w:rPr>
                <w:sz w:val="18"/>
              </w:rPr>
            </w:pPr>
          </w:p>
          <w:p w:rsidR="00B32AE6" w:rsidRPr="00A612BF" w:rsidRDefault="006174FC" w:rsidP="006B0AD7">
            <w:pPr>
              <w:jc w:val="center"/>
              <w:cnfStyle w:val="100000000000"/>
              <w:rPr>
                <w:sz w:val="18"/>
              </w:rPr>
            </w:pPr>
            <w:r w:rsidRPr="00A612BF">
              <w:rPr>
                <w:sz w:val="18"/>
              </w:rPr>
              <w:t>Employer</w:t>
            </w:r>
            <w:r w:rsidR="006B0AD7">
              <w:rPr>
                <w:sz w:val="18"/>
              </w:rPr>
              <w:t xml:space="preserve"> </w:t>
            </w:r>
            <w:r w:rsidRPr="00A612BF">
              <w:rPr>
                <w:sz w:val="18"/>
              </w:rPr>
              <w:t>share(</w:t>
            </w:r>
            <w:proofErr w:type="spellStart"/>
            <w:r w:rsidRPr="00A612BF">
              <w:rPr>
                <w:sz w:val="18"/>
              </w:rPr>
              <w:t>Er</w:t>
            </w:r>
            <w:r w:rsidR="00B32AE6" w:rsidRPr="00A612BF">
              <w:rPr>
                <w:sz w:val="18"/>
              </w:rPr>
              <w:t>S</w:t>
            </w:r>
            <w:proofErr w:type="spellEnd"/>
            <w:r w:rsidR="00B32AE6" w:rsidRPr="00A612BF">
              <w:rPr>
                <w:sz w:val="18"/>
              </w:rPr>
              <w:t>)</w:t>
            </w:r>
          </w:p>
          <w:p w:rsidR="003D395B" w:rsidRPr="00A612BF" w:rsidRDefault="00B32AE6" w:rsidP="006B0AD7">
            <w:pPr>
              <w:jc w:val="center"/>
              <w:cnfStyle w:val="100000000000"/>
              <w:rPr>
                <w:sz w:val="18"/>
              </w:rPr>
            </w:pPr>
            <w:proofErr w:type="spellStart"/>
            <w:r w:rsidRPr="00A612BF">
              <w:rPr>
                <w:sz w:val="18"/>
              </w:rPr>
              <w:t>ErS</w:t>
            </w:r>
            <w:proofErr w:type="spellEnd"/>
            <w:r w:rsidRPr="00A612BF">
              <w:rPr>
                <w:sz w:val="18"/>
              </w:rPr>
              <w:t>=0.5x TMC)</w:t>
            </w:r>
          </w:p>
        </w:tc>
      </w:tr>
      <w:tr w:rsidR="000F172D" w:rsidTr="006B0AD7">
        <w:trPr>
          <w:cnfStyle w:val="000000100000"/>
        </w:trPr>
        <w:tc>
          <w:tcPr>
            <w:cnfStyle w:val="001000000000"/>
            <w:tcW w:w="1275" w:type="dxa"/>
          </w:tcPr>
          <w:p w:rsidR="003D395B" w:rsidRDefault="00B32AE6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08" w:type="dxa"/>
          </w:tcPr>
          <w:p w:rsidR="003D395B" w:rsidRDefault="000D1B97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0F172D">
              <w:rPr>
                <w:sz w:val="18"/>
              </w:rPr>
              <w:t>4,999.99 and</w:t>
            </w:r>
            <w:r>
              <w:rPr>
                <w:sz w:val="18"/>
              </w:rPr>
              <w:t xml:space="preserve"> </w:t>
            </w:r>
            <w:r w:rsidR="000F172D">
              <w:rPr>
                <w:sz w:val="18"/>
              </w:rPr>
              <w:t xml:space="preserve"> below</w:t>
            </w:r>
          </w:p>
        </w:tc>
        <w:tc>
          <w:tcPr>
            <w:tcW w:w="1577" w:type="dxa"/>
          </w:tcPr>
          <w:p w:rsidR="003D395B" w:rsidRDefault="00EE10A6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  <w:tc>
          <w:tcPr>
            <w:tcW w:w="1584" w:type="dxa"/>
          </w:tcPr>
          <w:p w:rsidR="003D395B" w:rsidRDefault="00EE10A6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100.00</w:t>
            </w:r>
          </w:p>
        </w:tc>
        <w:tc>
          <w:tcPr>
            <w:tcW w:w="1579" w:type="dxa"/>
          </w:tcPr>
          <w:p w:rsidR="003D395B" w:rsidRDefault="00EE7C2F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50.00</w:t>
            </w:r>
          </w:p>
        </w:tc>
        <w:tc>
          <w:tcPr>
            <w:tcW w:w="1689" w:type="dxa"/>
          </w:tcPr>
          <w:p w:rsidR="003D395B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50.00</w:t>
            </w:r>
          </w:p>
        </w:tc>
      </w:tr>
      <w:tr w:rsidR="00401382" w:rsidTr="006B0AD7"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08" w:type="dxa"/>
          </w:tcPr>
          <w:p w:rsidR="00401382" w:rsidRDefault="00564F07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 xml:space="preserve">     5,000.00 -  </w:t>
            </w:r>
            <w:r w:rsidR="00401382">
              <w:rPr>
                <w:sz w:val="18"/>
              </w:rPr>
              <w:t>5,999.99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125.00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62.50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62.50</w:t>
            </w:r>
          </w:p>
        </w:tc>
      </w:tr>
      <w:tr w:rsidR="00401382" w:rsidTr="006B0AD7">
        <w:trPr>
          <w:cnfStyle w:val="000000100000"/>
        </w:trPr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08" w:type="dxa"/>
          </w:tcPr>
          <w:p w:rsidR="00401382" w:rsidRDefault="00564F07" w:rsidP="006B0AD7">
            <w:pPr>
              <w:cnfStyle w:val="000000100000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401382">
              <w:rPr>
                <w:sz w:val="18"/>
              </w:rPr>
              <w:t>6,000.00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- </w:t>
            </w:r>
            <w:r w:rsidR="00401382">
              <w:rPr>
                <w:sz w:val="18"/>
              </w:rPr>
              <w:t>6,999.99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6,000.00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150.00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75.00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75.00</w:t>
            </w:r>
          </w:p>
        </w:tc>
      </w:tr>
      <w:tr w:rsidR="00401382" w:rsidTr="006B0AD7"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08" w:type="dxa"/>
          </w:tcPr>
          <w:p w:rsidR="00401382" w:rsidRDefault="00564F07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 xml:space="preserve">    7,000.00 </w:t>
            </w:r>
            <w:r w:rsidR="002F790E">
              <w:rPr>
                <w:sz w:val="18"/>
              </w:rPr>
              <w:t xml:space="preserve"> </w:t>
            </w:r>
            <w:r w:rsidR="00401382"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 w:rsidR="00401382">
              <w:rPr>
                <w:sz w:val="18"/>
              </w:rPr>
              <w:t>7,999.99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7,000.00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175.00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87.50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87.50</w:t>
            </w:r>
          </w:p>
        </w:tc>
      </w:tr>
      <w:tr w:rsidR="00401382" w:rsidTr="006B0AD7">
        <w:trPr>
          <w:cnfStyle w:val="000000100000"/>
        </w:trPr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08" w:type="dxa"/>
          </w:tcPr>
          <w:p w:rsidR="00401382" w:rsidRDefault="00564F07" w:rsidP="006B0AD7">
            <w:pPr>
              <w:cnfStyle w:val="000000100000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401382">
              <w:rPr>
                <w:sz w:val="18"/>
              </w:rPr>
              <w:t>8,000.00</w:t>
            </w:r>
            <w:r w:rsidR="002F790E">
              <w:rPr>
                <w:sz w:val="18"/>
              </w:rPr>
              <w:t xml:space="preserve"> </w:t>
            </w:r>
            <w:r w:rsidR="00401382">
              <w:rPr>
                <w:sz w:val="18"/>
              </w:rPr>
              <w:t>-</w:t>
            </w:r>
            <w:r>
              <w:rPr>
                <w:sz w:val="18"/>
              </w:rPr>
              <w:t xml:space="preserve">   </w:t>
            </w:r>
            <w:r w:rsidR="00401382">
              <w:rPr>
                <w:sz w:val="18"/>
              </w:rPr>
              <w:t>8,999.99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100.00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100.00</w:t>
            </w:r>
          </w:p>
        </w:tc>
      </w:tr>
      <w:tr w:rsidR="00401382" w:rsidTr="006B0AD7"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08" w:type="dxa"/>
          </w:tcPr>
          <w:p w:rsidR="00401382" w:rsidRDefault="00564F07" w:rsidP="006B0AD7">
            <w:pPr>
              <w:cnfStyle w:val="000000000000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2F790E">
              <w:rPr>
                <w:sz w:val="18"/>
              </w:rPr>
              <w:t xml:space="preserve"> </w:t>
            </w:r>
            <w:r w:rsidR="00401382">
              <w:rPr>
                <w:sz w:val="18"/>
              </w:rPr>
              <w:t>9,000.00</w:t>
            </w:r>
            <w:r>
              <w:rPr>
                <w:sz w:val="18"/>
              </w:rPr>
              <w:t xml:space="preserve"> -   </w:t>
            </w:r>
            <w:r w:rsidR="00401382">
              <w:rPr>
                <w:sz w:val="18"/>
              </w:rPr>
              <w:t>9,999.99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9,000.00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225.00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112.50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112.50</w:t>
            </w:r>
          </w:p>
        </w:tc>
      </w:tr>
      <w:tr w:rsidR="00401382" w:rsidTr="006B0AD7">
        <w:trPr>
          <w:cnfStyle w:val="000000100000"/>
        </w:trPr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10,000.00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10,999.99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250.00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125.00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125.00</w:t>
            </w:r>
          </w:p>
        </w:tc>
      </w:tr>
      <w:tr w:rsidR="00401382" w:rsidTr="006B0AD7"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11,000.00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11,999.99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11,000.00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275.00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137.50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137.50</w:t>
            </w:r>
          </w:p>
        </w:tc>
      </w:tr>
      <w:tr w:rsidR="00401382" w:rsidTr="006B0AD7">
        <w:trPr>
          <w:cnfStyle w:val="000000100000"/>
        </w:trPr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12,000.00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12,999.99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300.00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150.00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150.00</w:t>
            </w:r>
          </w:p>
        </w:tc>
      </w:tr>
      <w:tr w:rsidR="00401382" w:rsidTr="006B0AD7"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13,000.00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13,999.99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13,000.00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325.00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162.50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162.50</w:t>
            </w:r>
          </w:p>
        </w:tc>
      </w:tr>
      <w:tr w:rsidR="00401382" w:rsidTr="006B0AD7">
        <w:trPr>
          <w:cnfStyle w:val="000000100000"/>
        </w:trPr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14,000.00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14,999.99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14,000.00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350.00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175.00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175.00</w:t>
            </w:r>
          </w:p>
        </w:tc>
      </w:tr>
      <w:tr w:rsidR="00401382" w:rsidTr="006B0AD7"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15,000.00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15,999.99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187.50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187.50</w:t>
            </w:r>
          </w:p>
        </w:tc>
      </w:tr>
      <w:tr w:rsidR="00401382" w:rsidTr="006B0AD7">
        <w:trPr>
          <w:cnfStyle w:val="000000100000"/>
        </w:trPr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16,000.00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16,999.99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16,000.00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</w:tr>
      <w:tr w:rsidR="00401382" w:rsidTr="006B0AD7"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17,000.00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17,999.99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17,000.00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425.00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212.50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212.50</w:t>
            </w:r>
          </w:p>
        </w:tc>
      </w:tr>
      <w:tr w:rsidR="00401382" w:rsidTr="006B0AD7">
        <w:trPr>
          <w:cnfStyle w:val="000000100000"/>
        </w:trPr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18,000.00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18,999.99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18,000.00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450.00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225.00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225.00</w:t>
            </w:r>
          </w:p>
        </w:tc>
      </w:tr>
      <w:tr w:rsidR="00401382" w:rsidTr="006B0AD7"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19,000.00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19,999.99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19,000.00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475.00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237.50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237.50</w:t>
            </w:r>
          </w:p>
        </w:tc>
      </w:tr>
      <w:tr w:rsidR="00401382" w:rsidTr="006B0AD7">
        <w:trPr>
          <w:cnfStyle w:val="000000100000"/>
        </w:trPr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20,000.00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20,999.99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250.00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250.00</w:t>
            </w:r>
          </w:p>
        </w:tc>
      </w:tr>
      <w:tr w:rsidR="00401382" w:rsidTr="006B0AD7"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21,000.00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21,999.99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21,000.00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525.00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262.50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262.50</w:t>
            </w:r>
          </w:p>
        </w:tc>
      </w:tr>
      <w:tr w:rsidR="00401382" w:rsidTr="006B0AD7">
        <w:trPr>
          <w:cnfStyle w:val="000000100000"/>
        </w:trPr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22,000.00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22,999.99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22,000.00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550.00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275.00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275.00</w:t>
            </w:r>
          </w:p>
        </w:tc>
      </w:tr>
      <w:tr w:rsidR="00401382" w:rsidTr="006B0AD7"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23,000.00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23,999.99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23,000.00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575.00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287.50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000000"/>
              <w:rPr>
                <w:sz w:val="18"/>
              </w:rPr>
            </w:pPr>
            <w:r>
              <w:rPr>
                <w:sz w:val="18"/>
              </w:rPr>
              <w:t>287.50</w:t>
            </w:r>
          </w:p>
        </w:tc>
      </w:tr>
      <w:tr w:rsidR="00401382" w:rsidTr="006B0AD7">
        <w:trPr>
          <w:cnfStyle w:val="000000100000"/>
        </w:trPr>
        <w:tc>
          <w:tcPr>
            <w:cnfStyle w:val="001000000000"/>
            <w:tcW w:w="1275" w:type="dxa"/>
          </w:tcPr>
          <w:p w:rsidR="00401382" w:rsidRDefault="00401382" w:rsidP="006B0A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108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24,000.00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2F790E">
              <w:rPr>
                <w:sz w:val="18"/>
              </w:rPr>
              <w:t xml:space="preserve"> </w:t>
            </w:r>
            <w:r>
              <w:rPr>
                <w:sz w:val="18"/>
              </w:rPr>
              <w:t>24,999.99</w:t>
            </w:r>
          </w:p>
        </w:tc>
        <w:tc>
          <w:tcPr>
            <w:tcW w:w="1577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24,000.00</w:t>
            </w:r>
          </w:p>
        </w:tc>
        <w:tc>
          <w:tcPr>
            <w:tcW w:w="1584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600.00</w:t>
            </w:r>
          </w:p>
        </w:tc>
        <w:tc>
          <w:tcPr>
            <w:tcW w:w="157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300.00</w:t>
            </w:r>
          </w:p>
        </w:tc>
        <w:tc>
          <w:tcPr>
            <w:tcW w:w="1689" w:type="dxa"/>
          </w:tcPr>
          <w:p w:rsidR="00401382" w:rsidRDefault="00401382" w:rsidP="006B0AD7">
            <w:pPr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300.00</w:t>
            </w:r>
          </w:p>
        </w:tc>
      </w:tr>
    </w:tbl>
    <w:p w:rsidR="003D395B" w:rsidRDefault="003D395B" w:rsidP="005D7C6A">
      <w:pPr>
        <w:jc w:val="right"/>
        <w:rPr>
          <w:b/>
          <w:sz w:val="18"/>
        </w:rPr>
      </w:pPr>
    </w:p>
    <w:p w:rsidR="006B0AD7" w:rsidRDefault="006B0AD7" w:rsidP="003D395B">
      <w:pPr>
        <w:tabs>
          <w:tab w:val="right" w:pos="9360"/>
        </w:tabs>
        <w:rPr>
          <w:b/>
          <w:sz w:val="18"/>
        </w:rPr>
      </w:pPr>
    </w:p>
    <w:p w:rsidR="006B0AD7" w:rsidRPr="006B0AD7" w:rsidRDefault="006B0AD7" w:rsidP="006B0AD7">
      <w:pPr>
        <w:tabs>
          <w:tab w:val="right" w:pos="9360"/>
        </w:tabs>
        <w:jc w:val="center"/>
        <w:rPr>
          <w:b/>
          <w:sz w:val="32"/>
        </w:rPr>
      </w:pPr>
      <w:r w:rsidRPr="006B0AD7">
        <w:rPr>
          <w:b/>
          <w:sz w:val="32"/>
        </w:rPr>
        <w:t>PREMIUM CONTRIBUTION SCHEDULE</w:t>
      </w:r>
    </w:p>
    <w:p w:rsidR="002050DE" w:rsidRPr="00B76DA7" w:rsidRDefault="003D395B" w:rsidP="00B76DA7">
      <w:pPr>
        <w:tabs>
          <w:tab w:val="right" w:pos="9360"/>
        </w:tabs>
        <w:rPr>
          <w:b/>
          <w:sz w:val="18"/>
        </w:rPr>
      </w:pPr>
      <w:r>
        <w:rPr>
          <w:b/>
          <w:sz w:val="18"/>
        </w:rPr>
        <w:tab/>
      </w:r>
    </w:p>
    <w:p w:rsidR="002050DE" w:rsidRPr="002050DE" w:rsidRDefault="002050DE" w:rsidP="002050DE">
      <w:pPr>
        <w:rPr>
          <w:sz w:val="18"/>
        </w:rPr>
      </w:pPr>
    </w:p>
    <w:p w:rsidR="002050DE" w:rsidRDefault="00D34D72" w:rsidP="002050DE">
      <w:pPr>
        <w:rPr>
          <w:sz w:val="24"/>
          <w:szCs w:val="24"/>
        </w:rPr>
      </w:pPr>
      <w:r>
        <w:rPr>
          <w:sz w:val="24"/>
          <w:szCs w:val="24"/>
        </w:rPr>
        <w:t xml:space="preserve">The new task of collecting the premium contributions of members in the government sector entailed the accreditation of banks to serve as </w:t>
      </w:r>
      <w:r w:rsidRPr="00B76DA7">
        <w:rPr>
          <w:b/>
          <w:sz w:val="24"/>
          <w:szCs w:val="24"/>
        </w:rPr>
        <w:t>Accredited Collecting Banks (ACBs).</w:t>
      </w:r>
    </w:p>
    <w:p w:rsidR="00B76DA7" w:rsidRDefault="00B76DA7" w:rsidP="002050DE">
      <w:pPr>
        <w:rPr>
          <w:sz w:val="24"/>
          <w:szCs w:val="24"/>
        </w:rPr>
      </w:pPr>
    </w:p>
    <w:p w:rsidR="00D34D72" w:rsidRPr="00D34D72" w:rsidRDefault="00D34D72" w:rsidP="002050DE">
      <w:pPr>
        <w:rPr>
          <w:sz w:val="24"/>
          <w:szCs w:val="24"/>
        </w:rPr>
      </w:pPr>
      <w:r>
        <w:rPr>
          <w:sz w:val="24"/>
          <w:szCs w:val="24"/>
        </w:rPr>
        <w:t xml:space="preserve">An interim Contributions Department was likewise established to oversee and coordinate contribution activities. A region-based remittance, reporting, monitoring, and compliance campaign was also initiated in 1998. </w:t>
      </w:r>
    </w:p>
    <w:p w:rsidR="002050DE" w:rsidRPr="002050DE" w:rsidRDefault="002050DE" w:rsidP="002050DE">
      <w:pPr>
        <w:rPr>
          <w:sz w:val="18"/>
        </w:rPr>
      </w:pPr>
    </w:p>
    <w:p w:rsidR="002050DE" w:rsidRPr="002050DE" w:rsidRDefault="002050DE" w:rsidP="002050DE">
      <w:pPr>
        <w:rPr>
          <w:sz w:val="18"/>
        </w:rPr>
      </w:pPr>
    </w:p>
    <w:p w:rsidR="002050DE" w:rsidRPr="002050DE" w:rsidRDefault="002050DE" w:rsidP="002050DE">
      <w:pPr>
        <w:rPr>
          <w:sz w:val="18"/>
        </w:rPr>
      </w:pPr>
    </w:p>
    <w:tbl>
      <w:tblPr>
        <w:tblStyle w:val="MediumGrid1-Accent4"/>
        <w:tblpPr w:leftFromText="180" w:rightFromText="180" w:vertAnchor="page" w:horzAnchor="margin" w:tblpY="1231"/>
        <w:tblW w:w="0" w:type="auto"/>
        <w:tblLook w:val="04A0"/>
      </w:tblPr>
      <w:tblGrid>
        <w:gridCol w:w="7848"/>
        <w:gridCol w:w="1728"/>
      </w:tblGrid>
      <w:tr w:rsidR="00DD208C" w:rsidTr="00C8003C">
        <w:trPr>
          <w:cnfStyle w:val="100000000000"/>
          <w:trHeight w:val="679"/>
        </w:trPr>
        <w:tc>
          <w:tcPr>
            <w:cnfStyle w:val="001000000000"/>
            <w:tcW w:w="9576" w:type="dxa"/>
            <w:gridSpan w:val="2"/>
          </w:tcPr>
          <w:p w:rsidR="00DD208C" w:rsidRPr="00166350" w:rsidRDefault="00DD208C" w:rsidP="00C8003C">
            <w:pPr>
              <w:jc w:val="center"/>
              <w:rPr>
                <w:sz w:val="24"/>
              </w:rPr>
            </w:pPr>
            <w:r w:rsidRPr="00166350">
              <w:rPr>
                <w:sz w:val="24"/>
              </w:rPr>
              <w:lastRenderedPageBreak/>
              <w:t>SCHEDULE OF OVERTIME RATE</w:t>
            </w:r>
          </w:p>
          <w:p w:rsidR="00DD208C" w:rsidRPr="00166350" w:rsidRDefault="00DD208C" w:rsidP="00C8003C">
            <w:pPr>
              <w:jc w:val="center"/>
              <w:rPr>
                <w:sz w:val="24"/>
              </w:rPr>
            </w:pPr>
            <w:r w:rsidRPr="00166350">
              <w:rPr>
                <w:sz w:val="24"/>
              </w:rPr>
              <w:t>BASED  ON 314 WORKING DAYS IN A YEAR</w:t>
            </w:r>
          </w:p>
          <w:p w:rsidR="00DD208C" w:rsidRPr="00166350" w:rsidRDefault="00DD208C" w:rsidP="00C8003C">
            <w:pPr>
              <w:jc w:val="center"/>
              <w:rPr>
                <w:b w:val="0"/>
                <w:sz w:val="18"/>
              </w:rPr>
            </w:pPr>
            <w:r w:rsidRPr="00166350">
              <w:rPr>
                <w:b w:val="0"/>
                <w:sz w:val="28"/>
              </w:rPr>
              <w:t>(Only Sundays or Rest days are not paid)</w:t>
            </w:r>
          </w:p>
        </w:tc>
      </w:tr>
      <w:tr w:rsidR="00DD208C" w:rsidRPr="00DD208C" w:rsidTr="00C8003C">
        <w:trPr>
          <w:cnfStyle w:val="000000100000"/>
        </w:trPr>
        <w:tc>
          <w:tcPr>
            <w:cnfStyle w:val="001000000000"/>
            <w:tcW w:w="7848" w:type="dxa"/>
          </w:tcPr>
          <w:p w:rsidR="00DD208C" w:rsidRPr="00166350" w:rsidRDefault="00DD208C" w:rsidP="00C8003C">
            <w:pPr>
              <w:rPr>
                <w:sz w:val="18"/>
              </w:rPr>
            </w:pPr>
          </w:p>
          <w:p w:rsidR="00DD208C" w:rsidRPr="00166350" w:rsidRDefault="00DD208C" w:rsidP="00C8003C">
            <w:pPr>
              <w:rPr>
                <w:sz w:val="18"/>
              </w:rPr>
            </w:pPr>
            <w:r w:rsidRPr="00166350">
              <w:rPr>
                <w:sz w:val="18"/>
              </w:rPr>
              <w:t>WORK CLASSIFICATION</w:t>
            </w:r>
          </w:p>
        </w:tc>
        <w:tc>
          <w:tcPr>
            <w:tcW w:w="1728" w:type="dxa"/>
          </w:tcPr>
          <w:p w:rsidR="00DD208C" w:rsidRPr="00166350" w:rsidRDefault="00DD208C" w:rsidP="00C8003C">
            <w:pPr>
              <w:cnfStyle w:val="000000100000"/>
              <w:rPr>
                <w:b/>
                <w:sz w:val="18"/>
              </w:rPr>
            </w:pPr>
          </w:p>
          <w:p w:rsidR="00DD208C" w:rsidRPr="00166350" w:rsidRDefault="00DD208C" w:rsidP="00C8003C">
            <w:pPr>
              <w:cnfStyle w:val="000000100000"/>
              <w:rPr>
                <w:b/>
                <w:sz w:val="18"/>
              </w:rPr>
            </w:pPr>
            <w:r w:rsidRPr="00166350">
              <w:rPr>
                <w:b/>
                <w:sz w:val="18"/>
              </w:rPr>
              <w:t>FACTOR USED</w:t>
            </w:r>
          </w:p>
        </w:tc>
      </w:tr>
      <w:tr w:rsidR="00DD208C" w:rsidTr="00C8003C">
        <w:tc>
          <w:tcPr>
            <w:cnfStyle w:val="001000000000"/>
            <w:tcW w:w="7848" w:type="dxa"/>
          </w:tcPr>
          <w:p w:rsidR="00DD208C" w:rsidRPr="00767DF4" w:rsidRDefault="00DD208C" w:rsidP="00C8003C">
            <w:pPr>
              <w:rPr>
                <w:b w:val="0"/>
                <w:sz w:val="18"/>
                <w:szCs w:val="18"/>
              </w:rPr>
            </w:pPr>
          </w:p>
          <w:p w:rsidR="00DD208C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DD208C" w:rsidRPr="00767DF4">
              <w:rPr>
                <w:b w:val="0"/>
                <w:sz w:val="18"/>
                <w:szCs w:val="18"/>
              </w:rPr>
              <w:t>Overtime on Regular Day</w:t>
            </w:r>
          </w:p>
        </w:tc>
        <w:tc>
          <w:tcPr>
            <w:tcW w:w="1728" w:type="dxa"/>
          </w:tcPr>
          <w:p w:rsidR="00DD208C" w:rsidRPr="00767DF4" w:rsidRDefault="00DD208C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DD208C" w:rsidRPr="00767DF4" w:rsidRDefault="00DD208C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125%</w:t>
            </w:r>
          </w:p>
        </w:tc>
      </w:tr>
      <w:tr w:rsidR="00DD208C" w:rsidTr="00C8003C">
        <w:trPr>
          <w:cnfStyle w:val="000000100000"/>
        </w:trPr>
        <w:tc>
          <w:tcPr>
            <w:cnfStyle w:val="001000000000"/>
            <w:tcW w:w="7848" w:type="dxa"/>
          </w:tcPr>
          <w:p w:rsidR="00DD208C" w:rsidRPr="00767DF4" w:rsidRDefault="00DD208C" w:rsidP="00C8003C">
            <w:pPr>
              <w:rPr>
                <w:b w:val="0"/>
                <w:sz w:val="18"/>
                <w:szCs w:val="18"/>
              </w:rPr>
            </w:pPr>
          </w:p>
          <w:p w:rsidR="00DD208C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DD208C" w:rsidRPr="00767DF4">
              <w:rPr>
                <w:b w:val="0"/>
                <w:sz w:val="18"/>
                <w:szCs w:val="18"/>
              </w:rPr>
              <w:t>Night Differential on Regular Day</w:t>
            </w:r>
          </w:p>
        </w:tc>
        <w:tc>
          <w:tcPr>
            <w:tcW w:w="1728" w:type="dxa"/>
          </w:tcPr>
          <w:p w:rsidR="00DD208C" w:rsidRPr="00767DF4" w:rsidRDefault="00DD208C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</w:p>
          <w:p w:rsidR="00DD208C" w:rsidRPr="00767DF4" w:rsidRDefault="00DD208C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10%</w:t>
            </w:r>
          </w:p>
        </w:tc>
      </w:tr>
      <w:tr w:rsidR="00DD208C" w:rsidTr="00C8003C">
        <w:tc>
          <w:tcPr>
            <w:cnfStyle w:val="001000000000"/>
            <w:tcW w:w="7848" w:type="dxa"/>
          </w:tcPr>
          <w:p w:rsidR="00DD208C" w:rsidRPr="00767DF4" w:rsidRDefault="00DD208C" w:rsidP="00C8003C">
            <w:pPr>
              <w:rPr>
                <w:b w:val="0"/>
                <w:sz w:val="18"/>
                <w:szCs w:val="18"/>
              </w:rPr>
            </w:pPr>
          </w:p>
          <w:p w:rsidR="00DD208C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FB3C49" w:rsidRPr="00767DF4">
              <w:rPr>
                <w:b w:val="0"/>
                <w:sz w:val="18"/>
                <w:szCs w:val="18"/>
              </w:rPr>
              <w:t>OT on Regular Day with Night Differential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DD208C" w:rsidRPr="00767DF4" w:rsidRDefault="00DD208C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137.50%</w:t>
            </w:r>
          </w:p>
        </w:tc>
      </w:tr>
      <w:tr w:rsidR="00DD208C" w:rsidTr="00C8003C">
        <w:trPr>
          <w:cnfStyle w:val="000000100000"/>
        </w:trPr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DD208C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FB3C49" w:rsidRPr="00767DF4">
              <w:rPr>
                <w:b w:val="0"/>
                <w:sz w:val="18"/>
                <w:szCs w:val="18"/>
              </w:rPr>
              <w:t>Rest Day (1</w:t>
            </w:r>
            <w:r w:rsidR="00FB3C49" w:rsidRPr="00767DF4">
              <w:rPr>
                <w:b w:val="0"/>
                <w:sz w:val="18"/>
                <w:szCs w:val="18"/>
                <w:vertAlign w:val="superscript"/>
              </w:rPr>
              <w:t>st</w:t>
            </w:r>
            <w:r w:rsidR="00FB3C49" w:rsidRPr="00767DF4">
              <w:rPr>
                <w:b w:val="0"/>
                <w:sz w:val="18"/>
                <w:szCs w:val="18"/>
              </w:rPr>
              <w:t xml:space="preserve">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</w:p>
          <w:p w:rsidR="00DD208C" w:rsidRPr="00767DF4" w:rsidRDefault="00DD208C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130%</w:t>
            </w:r>
          </w:p>
        </w:tc>
      </w:tr>
      <w:tr w:rsidR="00C8003C" w:rsidTr="00C8003C">
        <w:tc>
          <w:tcPr>
            <w:cnfStyle w:val="001000000000"/>
            <w:tcW w:w="7848" w:type="dxa"/>
          </w:tcPr>
          <w:p w:rsidR="00DD208C" w:rsidRPr="00767DF4" w:rsidRDefault="00DD208C" w:rsidP="00C8003C">
            <w:pPr>
              <w:rPr>
                <w:b w:val="0"/>
                <w:sz w:val="18"/>
                <w:szCs w:val="18"/>
              </w:rPr>
            </w:pPr>
          </w:p>
          <w:p w:rsidR="00DD208C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="00FB3C49" w:rsidRPr="00767DF4">
              <w:rPr>
                <w:b w:val="0"/>
                <w:sz w:val="18"/>
                <w:szCs w:val="18"/>
              </w:rPr>
              <w:t>OT on Rest Day (Excess of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DD208C" w:rsidRPr="00767DF4" w:rsidRDefault="00DD208C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169%</w:t>
            </w:r>
          </w:p>
        </w:tc>
      </w:tr>
      <w:tr w:rsidR="00C8003C" w:rsidTr="00C8003C">
        <w:trPr>
          <w:cnfStyle w:val="000000100000"/>
        </w:trPr>
        <w:tc>
          <w:tcPr>
            <w:cnfStyle w:val="001000000000"/>
            <w:tcW w:w="7848" w:type="dxa"/>
          </w:tcPr>
          <w:p w:rsidR="00DD208C" w:rsidRPr="00767DF4" w:rsidRDefault="00DD208C" w:rsidP="00C8003C">
            <w:pPr>
              <w:rPr>
                <w:b w:val="0"/>
                <w:sz w:val="18"/>
                <w:szCs w:val="18"/>
              </w:rPr>
            </w:pPr>
          </w:p>
          <w:p w:rsidR="00DD208C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="00FB3C49" w:rsidRPr="00767DF4">
              <w:rPr>
                <w:b w:val="0"/>
                <w:sz w:val="18"/>
                <w:szCs w:val="18"/>
              </w:rPr>
              <w:t>Rest Day OT with Night Differential (1</w:t>
            </w:r>
            <w:r w:rsidR="00FB3C49" w:rsidRPr="00767DF4">
              <w:rPr>
                <w:b w:val="0"/>
                <w:sz w:val="18"/>
                <w:szCs w:val="18"/>
                <w:vertAlign w:val="superscript"/>
              </w:rPr>
              <w:t>st</w:t>
            </w:r>
            <w:r w:rsidR="00FB3C49" w:rsidRPr="00767DF4">
              <w:rPr>
                <w:b w:val="0"/>
                <w:sz w:val="18"/>
                <w:szCs w:val="18"/>
              </w:rPr>
              <w:t xml:space="preserve"> 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</w:p>
          <w:p w:rsidR="00DD208C" w:rsidRPr="00767DF4" w:rsidRDefault="00DD208C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143%</w:t>
            </w:r>
          </w:p>
        </w:tc>
      </w:tr>
      <w:tr w:rsidR="00C8003C" w:rsidTr="00C8003C"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="00FB3C49" w:rsidRPr="00767DF4">
              <w:rPr>
                <w:b w:val="0"/>
                <w:sz w:val="18"/>
                <w:szCs w:val="18"/>
              </w:rPr>
              <w:t>Rest Day OT with Night Differential (Excess of 8 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185.90%</w:t>
            </w:r>
          </w:p>
        </w:tc>
      </w:tr>
      <w:tr w:rsidR="00C8003C" w:rsidTr="00C8003C">
        <w:trPr>
          <w:cnfStyle w:val="000000100000"/>
        </w:trPr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="00FB3C49" w:rsidRPr="00767DF4">
              <w:rPr>
                <w:b w:val="0"/>
                <w:sz w:val="18"/>
                <w:szCs w:val="18"/>
              </w:rPr>
              <w:t>Regular Holiday (1</w:t>
            </w:r>
            <w:r w:rsidR="00FB3C49" w:rsidRPr="00767DF4">
              <w:rPr>
                <w:b w:val="0"/>
                <w:sz w:val="18"/>
                <w:szCs w:val="18"/>
                <w:vertAlign w:val="superscript"/>
              </w:rPr>
              <w:t>st</w:t>
            </w:r>
            <w:r w:rsidR="00FB3C49" w:rsidRPr="00767DF4">
              <w:rPr>
                <w:b w:val="0"/>
                <w:sz w:val="18"/>
                <w:szCs w:val="18"/>
              </w:rPr>
              <w:t xml:space="preserve">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100%</w:t>
            </w:r>
          </w:p>
        </w:tc>
      </w:tr>
      <w:tr w:rsidR="00C8003C" w:rsidTr="00C8003C"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6C7969" w:rsidRPr="00767DF4">
              <w:rPr>
                <w:b w:val="0"/>
                <w:sz w:val="18"/>
                <w:szCs w:val="18"/>
              </w:rPr>
              <w:t>OT on Regular holiday (Excess of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260%</w:t>
            </w:r>
          </w:p>
        </w:tc>
      </w:tr>
      <w:tr w:rsidR="00C8003C" w:rsidTr="00C8003C">
        <w:trPr>
          <w:cnfStyle w:val="000000100000"/>
        </w:trPr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="006C7969" w:rsidRPr="00767DF4">
              <w:rPr>
                <w:b w:val="0"/>
                <w:sz w:val="18"/>
                <w:szCs w:val="18"/>
              </w:rPr>
              <w:t>Regular Holiday with Night Differential (1</w:t>
            </w:r>
            <w:r w:rsidR="006C7969" w:rsidRPr="00767DF4">
              <w:rPr>
                <w:b w:val="0"/>
                <w:sz w:val="18"/>
                <w:szCs w:val="18"/>
                <w:vertAlign w:val="superscript"/>
              </w:rPr>
              <w:t>st</w:t>
            </w:r>
            <w:r w:rsidR="006C7969" w:rsidRPr="00767DF4">
              <w:rPr>
                <w:b w:val="0"/>
                <w:sz w:val="18"/>
                <w:szCs w:val="18"/>
              </w:rPr>
              <w:t xml:space="preserve">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120%</w:t>
            </w:r>
          </w:p>
        </w:tc>
      </w:tr>
      <w:tr w:rsidR="00C8003C" w:rsidTr="00C8003C"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="006C7969" w:rsidRPr="00767DF4">
              <w:rPr>
                <w:b w:val="0"/>
                <w:sz w:val="18"/>
                <w:szCs w:val="18"/>
              </w:rPr>
              <w:t>OT  on Regular Holiday with Night Differential (Excess of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286%</w:t>
            </w:r>
          </w:p>
        </w:tc>
      </w:tr>
      <w:tr w:rsidR="00C8003C" w:rsidTr="00C8003C">
        <w:trPr>
          <w:cnfStyle w:val="000000100000"/>
        </w:trPr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6C7969" w:rsidRPr="00767DF4">
              <w:rPr>
                <w:b w:val="0"/>
                <w:sz w:val="18"/>
                <w:szCs w:val="18"/>
              </w:rPr>
              <w:t>Regular Holiday and Rest Day at the same time (1</w:t>
            </w:r>
            <w:r w:rsidR="006C7969" w:rsidRPr="00767DF4">
              <w:rPr>
                <w:b w:val="0"/>
                <w:sz w:val="18"/>
                <w:szCs w:val="18"/>
                <w:vertAlign w:val="superscript"/>
              </w:rPr>
              <w:t>st</w:t>
            </w:r>
            <w:r w:rsidR="006C7969" w:rsidRPr="00767DF4">
              <w:rPr>
                <w:b w:val="0"/>
                <w:sz w:val="18"/>
                <w:szCs w:val="18"/>
              </w:rPr>
              <w:t xml:space="preserve">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260%</w:t>
            </w:r>
          </w:p>
        </w:tc>
      </w:tr>
      <w:tr w:rsidR="00C8003C" w:rsidTr="00C8003C"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="006C7969" w:rsidRPr="00767DF4">
              <w:rPr>
                <w:b w:val="0"/>
                <w:sz w:val="18"/>
                <w:szCs w:val="18"/>
              </w:rPr>
              <w:t>OT on Regular Holiday and Rest Day at the same time (Excess of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338%</w:t>
            </w:r>
          </w:p>
        </w:tc>
      </w:tr>
      <w:tr w:rsidR="00C8003C" w:rsidTr="00C8003C">
        <w:trPr>
          <w:cnfStyle w:val="000000100000"/>
        </w:trPr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="006C7969" w:rsidRPr="00767DF4">
              <w:rPr>
                <w:b w:val="0"/>
                <w:sz w:val="18"/>
                <w:szCs w:val="18"/>
              </w:rPr>
              <w:t>Regular Holiday and at the same time Rest Day with Night Differential (1</w:t>
            </w:r>
            <w:r w:rsidR="006C7969" w:rsidRPr="00767DF4">
              <w:rPr>
                <w:b w:val="0"/>
                <w:sz w:val="18"/>
                <w:szCs w:val="18"/>
                <w:vertAlign w:val="superscript"/>
              </w:rPr>
              <w:t>st</w:t>
            </w:r>
            <w:r w:rsidR="006C7969" w:rsidRPr="00767DF4">
              <w:rPr>
                <w:b w:val="0"/>
                <w:sz w:val="18"/>
                <w:szCs w:val="18"/>
              </w:rPr>
              <w:t xml:space="preserve">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286%</w:t>
            </w:r>
          </w:p>
        </w:tc>
      </w:tr>
      <w:tr w:rsidR="00C8003C" w:rsidTr="00C8003C"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913A5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 w:rsidR="00CE32CB" w:rsidRPr="00767DF4">
              <w:rPr>
                <w:b w:val="0"/>
                <w:sz w:val="18"/>
                <w:szCs w:val="18"/>
              </w:rPr>
              <w:t>OT with Nig</w:t>
            </w:r>
            <w:r w:rsidR="009F557E" w:rsidRPr="00767DF4">
              <w:rPr>
                <w:b w:val="0"/>
                <w:sz w:val="18"/>
                <w:szCs w:val="18"/>
              </w:rPr>
              <w:t>ht Differential on Re</w:t>
            </w:r>
            <w:r w:rsidR="00913A59" w:rsidRPr="00767DF4">
              <w:rPr>
                <w:b w:val="0"/>
                <w:sz w:val="18"/>
                <w:szCs w:val="18"/>
              </w:rPr>
              <w:t>gular Holiday and at the same time Rest Day (Excess of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371.80%</w:t>
            </w:r>
          </w:p>
        </w:tc>
      </w:tr>
      <w:tr w:rsidR="00C8003C" w:rsidTr="00C8003C">
        <w:trPr>
          <w:cnfStyle w:val="000000100000"/>
        </w:trPr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  <w:r w:rsidR="00913A59" w:rsidRPr="00767DF4">
              <w:rPr>
                <w:b w:val="0"/>
                <w:sz w:val="18"/>
                <w:szCs w:val="18"/>
              </w:rPr>
              <w:t>Special Holiday (1</w:t>
            </w:r>
            <w:r w:rsidR="00913A59" w:rsidRPr="00767DF4">
              <w:rPr>
                <w:b w:val="0"/>
                <w:sz w:val="18"/>
                <w:szCs w:val="18"/>
                <w:vertAlign w:val="superscript"/>
              </w:rPr>
              <w:t>st</w:t>
            </w:r>
            <w:r w:rsidR="00913A59" w:rsidRPr="00767DF4">
              <w:rPr>
                <w:b w:val="0"/>
                <w:sz w:val="18"/>
                <w:szCs w:val="18"/>
              </w:rPr>
              <w:t xml:space="preserve">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30%</w:t>
            </w:r>
          </w:p>
        </w:tc>
      </w:tr>
      <w:tr w:rsidR="00C8003C" w:rsidTr="00C8003C"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r w:rsidR="00913A59" w:rsidRPr="00767DF4">
              <w:rPr>
                <w:b w:val="0"/>
                <w:sz w:val="18"/>
                <w:szCs w:val="18"/>
              </w:rPr>
              <w:t>OT on Special Holiday (Excess of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169%</w:t>
            </w:r>
          </w:p>
        </w:tc>
      </w:tr>
      <w:tr w:rsidR="00C8003C" w:rsidTr="00C8003C">
        <w:trPr>
          <w:cnfStyle w:val="000000100000"/>
        </w:trPr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  <w:r w:rsidR="00913A59" w:rsidRPr="00767DF4">
              <w:rPr>
                <w:b w:val="0"/>
                <w:sz w:val="18"/>
                <w:szCs w:val="18"/>
              </w:rPr>
              <w:t>Special Holiday with Night Differential (1</w:t>
            </w:r>
            <w:r w:rsidR="00913A59" w:rsidRPr="00767DF4">
              <w:rPr>
                <w:b w:val="0"/>
                <w:sz w:val="18"/>
                <w:szCs w:val="18"/>
                <w:vertAlign w:val="superscript"/>
              </w:rPr>
              <w:t>st</w:t>
            </w:r>
            <w:r w:rsidR="00913A59" w:rsidRPr="00767DF4">
              <w:rPr>
                <w:b w:val="0"/>
                <w:sz w:val="18"/>
                <w:szCs w:val="18"/>
              </w:rPr>
              <w:t xml:space="preserve">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33%</w:t>
            </w:r>
          </w:p>
        </w:tc>
      </w:tr>
      <w:tr w:rsidR="00C8003C" w:rsidTr="00C8003C"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  <w:r w:rsidR="00913A59" w:rsidRPr="00767DF4">
              <w:rPr>
                <w:b w:val="0"/>
                <w:sz w:val="18"/>
                <w:szCs w:val="18"/>
              </w:rPr>
              <w:t>OT with Night Differential on Special Holiday (Excess of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185.90%</w:t>
            </w:r>
          </w:p>
        </w:tc>
      </w:tr>
      <w:tr w:rsidR="00C8003C" w:rsidTr="00C8003C">
        <w:trPr>
          <w:cnfStyle w:val="000000100000"/>
        </w:trPr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  <w:r w:rsidR="00A732A5" w:rsidRPr="00767DF4">
              <w:rPr>
                <w:b w:val="0"/>
                <w:sz w:val="18"/>
                <w:szCs w:val="18"/>
              </w:rPr>
              <w:t>Special Holiday and at the same time Rest Day (1</w:t>
            </w:r>
            <w:r w:rsidR="00A732A5" w:rsidRPr="00767DF4">
              <w:rPr>
                <w:b w:val="0"/>
                <w:sz w:val="18"/>
                <w:szCs w:val="18"/>
                <w:vertAlign w:val="superscript"/>
              </w:rPr>
              <w:t>st</w:t>
            </w:r>
            <w:r w:rsidR="00A732A5" w:rsidRPr="00767DF4">
              <w:rPr>
                <w:b w:val="0"/>
                <w:sz w:val="18"/>
                <w:szCs w:val="18"/>
              </w:rPr>
              <w:t xml:space="preserve">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150%</w:t>
            </w:r>
          </w:p>
        </w:tc>
      </w:tr>
      <w:tr w:rsidR="00C8003C" w:rsidTr="00C8003C"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  <w:r w:rsidR="00A732A5" w:rsidRPr="00767DF4">
              <w:rPr>
                <w:b w:val="0"/>
                <w:sz w:val="18"/>
                <w:szCs w:val="18"/>
              </w:rPr>
              <w:t>OT on Special Holiday and at the same time Rest Day (Excess of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195%</w:t>
            </w:r>
          </w:p>
        </w:tc>
      </w:tr>
      <w:tr w:rsidR="00166350" w:rsidTr="00C8003C">
        <w:trPr>
          <w:cnfStyle w:val="000000100000"/>
        </w:trPr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  <w:r w:rsidR="00A732A5" w:rsidRPr="00767DF4">
              <w:rPr>
                <w:b w:val="0"/>
                <w:sz w:val="18"/>
                <w:szCs w:val="18"/>
              </w:rPr>
              <w:t>Night Differential on Special Holiday and at the same time Rest Day (1</w:t>
            </w:r>
            <w:r w:rsidR="00A732A5" w:rsidRPr="00767DF4">
              <w:rPr>
                <w:b w:val="0"/>
                <w:sz w:val="18"/>
                <w:szCs w:val="18"/>
                <w:vertAlign w:val="superscript"/>
              </w:rPr>
              <w:t>st</w:t>
            </w:r>
            <w:r w:rsidR="00A732A5" w:rsidRPr="00767DF4">
              <w:rPr>
                <w:b w:val="0"/>
                <w:sz w:val="18"/>
                <w:szCs w:val="18"/>
              </w:rPr>
              <w:t xml:space="preserve">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165%</w:t>
            </w:r>
          </w:p>
        </w:tc>
      </w:tr>
      <w:tr w:rsidR="00C8003C" w:rsidTr="00C8003C">
        <w:trPr>
          <w:trHeight w:val="613"/>
        </w:trPr>
        <w:tc>
          <w:tcPr>
            <w:cnfStyle w:val="001000000000"/>
            <w:tcW w:w="7848" w:type="dxa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E027C9" w:rsidP="00C8003C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  <w:r w:rsidR="00A732A5" w:rsidRPr="00767DF4">
              <w:rPr>
                <w:b w:val="0"/>
                <w:sz w:val="18"/>
                <w:szCs w:val="18"/>
              </w:rPr>
              <w:t>OT and Night Differential on Special Holiday and at the same time Rest Day (Excess of 8 Hours)</w:t>
            </w:r>
          </w:p>
        </w:tc>
        <w:tc>
          <w:tcPr>
            <w:tcW w:w="1728" w:type="dxa"/>
          </w:tcPr>
          <w:p w:rsidR="00767DF4" w:rsidRDefault="00767DF4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</w:p>
          <w:p w:rsidR="00FB3C49" w:rsidRPr="00767DF4" w:rsidRDefault="00FB3C49" w:rsidP="00C263D8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767DF4">
              <w:rPr>
                <w:b/>
                <w:sz w:val="18"/>
                <w:szCs w:val="18"/>
              </w:rPr>
              <w:t>214.50%</w:t>
            </w:r>
          </w:p>
        </w:tc>
      </w:tr>
      <w:tr w:rsidR="00FB3C49" w:rsidTr="00C8003C">
        <w:trPr>
          <w:cnfStyle w:val="000000100000"/>
          <w:trHeight w:val="610"/>
        </w:trPr>
        <w:tc>
          <w:tcPr>
            <w:cnfStyle w:val="001000000000"/>
            <w:tcW w:w="9576" w:type="dxa"/>
            <w:gridSpan w:val="2"/>
          </w:tcPr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  <w:r w:rsidRPr="00767DF4">
              <w:rPr>
                <w:b w:val="0"/>
                <w:sz w:val="18"/>
                <w:szCs w:val="18"/>
              </w:rPr>
              <w:t>Basis:  Book III Conditions of Employment Rules I-IV and Annex A</w:t>
            </w:r>
          </w:p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  <w:r w:rsidRPr="00767DF4">
              <w:rPr>
                <w:b w:val="0"/>
                <w:sz w:val="18"/>
                <w:szCs w:val="18"/>
              </w:rPr>
              <w:t xml:space="preserve">             Labor Code of the Philippines</w:t>
            </w:r>
          </w:p>
          <w:p w:rsidR="00FB3C49" w:rsidRPr="00767DF4" w:rsidRDefault="00FB3C49" w:rsidP="00C8003C">
            <w:pPr>
              <w:rPr>
                <w:b w:val="0"/>
                <w:sz w:val="18"/>
                <w:szCs w:val="18"/>
              </w:rPr>
            </w:pPr>
          </w:p>
        </w:tc>
      </w:tr>
    </w:tbl>
    <w:p w:rsidR="002050DE" w:rsidRPr="002050DE" w:rsidRDefault="002050DE" w:rsidP="001F0169">
      <w:pPr>
        <w:tabs>
          <w:tab w:val="left" w:pos="5760"/>
        </w:tabs>
        <w:rPr>
          <w:sz w:val="18"/>
        </w:rPr>
      </w:pPr>
    </w:p>
    <w:p w:rsidR="002050DE" w:rsidRPr="002050DE" w:rsidRDefault="002050DE" w:rsidP="002050DE">
      <w:pPr>
        <w:rPr>
          <w:sz w:val="18"/>
        </w:rPr>
      </w:pPr>
    </w:p>
    <w:p w:rsidR="002050DE" w:rsidRPr="002050DE" w:rsidRDefault="002050DE" w:rsidP="002050DE">
      <w:pPr>
        <w:rPr>
          <w:sz w:val="18"/>
        </w:rPr>
      </w:pPr>
    </w:p>
    <w:p w:rsidR="002050DE" w:rsidRPr="002050DE" w:rsidRDefault="002050DE" w:rsidP="002050DE">
      <w:pPr>
        <w:rPr>
          <w:sz w:val="18"/>
        </w:rPr>
      </w:pPr>
    </w:p>
    <w:p w:rsidR="008A1BEB" w:rsidRPr="002050DE" w:rsidRDefault="008A1BEB" w:rsidP="002050DE">
      <w:pPr>
        <w:rPr>
          <w:sz w:val="18"/>
        </w:rPr>
      </w:pPr>
    </w:p>
    <w:sectPr w:rsidR="008A1BEB" w:rsidRPr="002050DE" w:rsidSect="00737939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0EA" w:rsidRDefault="005E60EA" w:rsidP="00CB2732">
      <w:pPr>
        <w:spacing w:after="0" w:line="240" w:lineRule="auto"/>
      </w:pPr>
      <w:r>
        <w:separator/>
      </w:r>
    </w:p>
  </w:endnote>
  <w:endnote w:type="continuationSeparator" w:id="1">
    <w:p w:rsidR="005E60EA" w:rsidRDefault="005E60EA" w:rsidP="00CB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0EA" w:rsidRDefault="005E60EA" w:rsidP="00CB2732">
      <w:pPr>
        <w:spacing w:after="0" w:line="240" w:lineRule="auto"/>
      </w:pPr>
      <w:r>
        <w:separator/>
      </w:r>
    </w:p>
  </w:footnote>
  <w:footnote w:type="continuationSeparator" w:id="1">
    <w:p w:rsidR="005E60EA" w:rsidRDefault="005E60EA" w:rsidP="00CB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0E" w:rsidRDefault="002F790E">
    <w:pPr>
      <w:pStyle w:val="Header"/>
    </w:pPr>
  </w:p>
  <w:p w:rsidR="002F790E" w:rsidRDefault="002F790E">
    <w:pPr>
      <w:pStyle w:val="Header"/>
    </w:pPr>
  </w:p>
  <w:p w:rsidR="002F790E" w:rsidRDefault="002F79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11265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CB2732"/>
    <w:rsid w:val="0002457D"/>
    <w:rsid w:val="00073242"/>
    <w:rsid w:val="000769F8"/>
    <w:rsid w:val="000D1B97"/>
    <w:rsid w:val="000E3B60"/>
    <w:rsid w:val="000F172D"/>
    <w:rsid w:val="00133F2D"/>
    <w:rsid w:val="00166350"/>
    <w:rsid w:val="00183789"/>
    <w:rsid w:val="00190705"/>
    <w:rsid w:val="001B485F"/>
    <w:rsid w:val="001F0169"/>
    <w:rsid w:val="002050DE"/>
    <w:rsid w:val="002F790E"/>
    <w:rsid w:val="00303F1F"/>
    <w:rsid w:val="003366A7"/>
    <w:rsid w:val="00352162"/>
    <w:rsid w:val="00365ED1"/>
    <w:rsid w:val="003D395B"/>
    <w:rsid w:val="003E02D7"/>
    <w:rsid w:val="00401382"/>
    <w:rsid w:val="005156A8"/>
    <w:rsid w:val="00564F07"/>
    <w:rsid w:val="00590818"/>
    <w:rsid w:val="005D7C6A"/>
    <w:rsid w:val="005E60EA"/>
    <w:rsid w:val="006174FC"/>
    <w:rsid w:val="00636E8F"/>
    <w:rsid w:val="00664A94"/>
    <w:rsid w:val="006B0AD7"/>
    <w:rsid w:val="006C7969"/>
    <w:rsid w:val="00714F81"/>
    <w:rsid w:val="007253F6"/>
    <w:rsid w:val="00737939"/>
    <w:rsid w:val="00767DF4"/>
    <w:rsid w:val="00786263"/>
    <w:rsid w:val="008A1BEB"/>
    <w:rsid w:val="008D69F7"/>
    <w:rsid w:val="00913A59"/>
    <w:rsid w:val="00957003"/>
    <w:rsid w:val="00971B0D"/>
    <w:rsid w:val="009F557E"/>
    <w:rsid w:val="00A322A2"/>
    <w:rsid w:val="00A612BF"/>
    <w:rsid w:val="00A732A5"/>
    <w:rsid w:val="00B32AE6"/>
    <w:rsid w:val="00B76DA7"/>
    <w:rsid w:val="00BD28BB"/>
    <w:rsid w:val="00C263D8"/>
    <w:rsid w:val="00C8003C"/>
    <w:rsid w:val="00CB2732"/>
    <w:rsid w:val="00CC37C0"/>
    <w:rsid w:val="00CE32CB"/>
    <w:rsid w:val="00D34D72"/>
    <w:rsid w:val="00D649FA"/>
    <w:rsid w:val="00DA6F15"/>
    <w:rsid w:val="00DC0E71"/>
    <w:rsid w:val="00DD11A6"/>
    <w:rsid w:val="00DD208C"/>
    <w:rsid w:val="00DD728C"/>
    <w:rsid w:val="00E027C9"/>
    <w:rsid w:val="00E971EC"/>
    <w:rsid w:val="00EE10A6"/>
    <w:rsid w:val="00EE7C2F"/>
    <w:rsid w:val="00EF1EA1"/>
    <w:rsid w:val="00EF7899"/>
    <w:rsid w:val="00F17CEB"/>
    <w:rsid w:val="00F617B6"/>
    <w:rsid w:val="00FA5C96"/>
    <w:rsid w:val="00FB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732"/>
  </w:style>
  <w:style w:type="paragraph" w:styleId="Footer">
    <w:name w:val="footer"/>
    <w:basedOn w:val="Normal"/>
    <w:link w:val="FooterChar"/>
    <w:uiPriority w:val="99"/>
    <w:semiHidden/>
    <w:unhideWhenUsed/>
    <w:rsid w:val="00CB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2732"/>
  </w:style>
  <w:style w:type="table" w:styleId="TableGrid">
    <w:name w:val="Table Grid"/>
    <w:basedOn w:val="TableNormal"/>
    <w:uiPriority w:val="59"/>
    <w:rsid w:val="00CB2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4">
    <w:name w:val="Colorful List Accent 4"/>
    <w:basedOn w:val="TableNormal"/>
    <w:uiPriority w:val="72"/>
    <w:rsid w:val="007862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2424" w:themeFill="accent3" w:themeFillShade="CC"/>
      </w:tcPr>
    </w:tblStylePr>
    <w:tblStylePr w:type="lastRow">
      <w:rPr>
        <w:b/>
        <w:bCs/>
        <w:color w:val="9B24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C7" w:themeFill="accent4" w:themeFillTint="3F"/>
      </w:tcPr>
    </w:tblStylePr>
    <w:tblStylePr w:type="band1Horz">
      <w:tblPr/>
      <w:tcPr>
        <w:shd w:val="clear" w:color="auto" w:fill="E7F1D2" w:themeFill="accent4" w:themeFillTint="33"/>
      </w:tcPr>
    </w:tblStylePr>
  </w:style>
  <w:style w:type="table" w:styleId="MediumGrid1-Accent1">
    <w:name w:val="Medium Grid 1 Accent 1"/>
    <w:basedOn w:val="TableNormal"/>
    <w:uiPriority w:val="67"/>
    <w:rsid w:val="007862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EB3C9" w:themeColor="accent1" w:themeTint="BF"/>
        <w:left w:val="single" w:sz="8" w:space="0" w:color="5EB3C9" w:themeColor="accent1" w:themeTint="BF"/>
        <w:bottom w:val="single" w:sz="8" w:space="0" w:color="5EB3C9" w:themeColor="accent1" w:themeTint="BF"/>
        <w:right w:val="single" w:sz="8" w:space="0" w:color="5EB3C9" w:themeColor="accent1" w:themeTint="BF"/>
        <w:insideH w:val="single" w:sz="8" w:space="0" w:color="5EB3C9" w:themeColor="accent1" w:themeTint="BF"/>
        <w:insideV w:val="single" w:sz="8" w:space="0" w:color="5EB3C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6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3C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CCDB" w:themeFill="accent1" w:themeFillTint="7F"/>
      </w:tcPr>
    </w:tblStylePr>
    <w:tblStylePr w:type="band1Horz">
      <w:tblPr/>
      <w:tcPr>
        <w:shd w:val="clear" w:color="auto" w:fill="93CCDB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74FC"/>
    <w:pPr>
      <w:spacing w:after="0" w:line="240" w:lineRule="auto"/>
    </w:pPr>
  </w:style>
  <w:style w:type="table" w:styleId="MediumGrid1-Accent2">
    <w:name w:val="Medium Grid 1 Accent 2"/>
    <w:basedOn w:val="TableNormal"/>
    <w:uiPriority w:val="67"/>
    <w:rsid w:val="00A612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947" w:themeColor="accent2" w:themeTint="BF"/>
        <w:left w:val="single" w:sz="8" w:space="0" w:color="FEC947" w:themeColor="accent2" w:themeTint="BF"/>
        <w:bottom w:val="single" w:sz="8" w:space="0" w:color="FEC947" w:themeColor="accent2" w:themeTint="BF"/>
        <w:right w:val="single" w:sz="8" w:space="0" w:color="FEC947" w:themeColor="accent2" w:themeTint="BF"/>
        <w:insideH w:val="single" w:sz="8" w:space="0" w:color="FEC947" w:themeColor="accent2" w:themeTint="BF"/>
        <w:insideV w:val="single" w:sz="8" w:space="0" w:color="FEC94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94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4" w:themeFill="accent2" w:themeFillTint="7F"/>
      </w:tcPr>
    </w:tblStylePr>
    <w:tblStylePr w:type="band1Horz">
      <w:tblPr/>
      <w:tcPr>
        <w:shd w:val="clear" w:color="auto" w:fill="FEDB84" w:themeFill="accent2" w:themeFillTint="7F"/>
      </w:tcPr>
    </w:tblStylePr>
  </w:style>
  <w:style w:type="table" w:styleId="LightGrid-Accent5">
    <w:name w:val="Light Grid Accent 5"/>
    <w:basedOn w:val="TableNormal"/>
    <w:uiPriority w:val="62"/>
    <w:rsid w:val="007379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4305" w:themeColor="accent5"/>
        <w:left w:val="single" w:sz="8" w:space="0" w:color="964305" w:themeColor="accent5"/>
        <w:bottom w:val="single" w:sz="8" w:space="0" w:color="964305" w:themeColor="accent5"/>
        <w:right w:val="single" w:sz="8" w:space="0" w:color="964305" w:themeColor="accent5"/>
        <w:insideH w:val="single" w:sz="8" w:space="0" w:color="964305" w:themeColor="accent5"/>
        <w:insideV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18" w:space="0" w:color="964305" w:themeColor="accent5"/>
          <w:right w:val="single" w:sz="8" w:space="0" w:color="964305" w:themeColor="accent5"/>
          <w:insideH w:val="nil"/>
          <w:insideV w:val="single" w:sz="8" w:space="0" w:color="9643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  <w:insideH w:val="nil"/>
          <w:insideV w:val="single" w:sz="8" w:space="0" w:color="9643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</w:tcPr>
    </w:tblStylePr>
    <w:tblStylePr w:type="band1Vert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  <w:shd w:val="clear" w:color="auto" w:fill="FCCDA9" w:themeFill="accent5" w:themeFillTint="3F"/>
      </w:tcPr>
    </w:tblStylePr>
    <w:tblStylePr w:type="band1Horz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  <w:insideV w:val="single" w:sz="8" w:space="0" w:color="964305" w:themeColor="accent5"/>
        </w:tcBorders>
        <w:shd w:val="clear" w:color="auto" w:fill="FCCDA9" w:themeFill="accent5" w:themeFillTint="3F"/>
      </w:tcPr>
    </w:tblStylePr>
    <w:tblStylePr w:type="band2Horz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  <w:insideV w:val="single" w:sz="8" w:space="0" w:color="964305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73793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4305" w:themeColor="accent5"/>
        <w:bottom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4305" w:themeColor="accent5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964305" w:themeColor="accent5"/>
          <w:bottom w:val="single" w:sz="8" w:space="0" w:color="9643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4305" w:themeColor="accent5"/>
          <w:bottom w:val="single" w:sz="8" w:space="0" w:color="964305" w:themeColor="accent5"/>
        </w:tcBorders>
      </w:tcPr>
    </w:tblStylePr>
    <w:tblStylePr w:type="band1Vert">
      <w:tblPr/>
      <w:tcPr>
        <w:shd w:val="clear" w:color="auto" w:fill="FCCDA9" w:themeFill="accent5" w:themeFillTint="3F"/>
      </w:tcPr>
    </w:tblStylePr>
    <w:tblStylePr w:type="band1Horz">
      <w:tblPr/>
      <w:tcPr>
        <w:shd w:val="clear" w:color="auto" w:fill="FCCDA9" w:themeFill="accent5" w:themeFillTint="3F"/>
      </w:tcPr>
    </w:tblStylePr>
  </w:style>
  <w:style w:type="table" w:styleId="MediumGrid1-Accent4">
    <w:name w:val="Medium Grid 1 Accent 4"/>
    <w:basedOn w:val="TableNormal"/>
    <w:uiPriority w:val="67"/>
    <w:rsid w:val="007379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CD58" w:themeColor="accent4" w:themeTint="BF"/>
        <w:left w:val="single" w:sz="8" w:space="0" w:color="A7CD58" w:themeColor="accent4" w:themeTint="BF"/>
        <w:bottom w:val="single" w:sz="8" w:space="0" w:color="A7CD58" w:themeColor="accent4" w:themeTint="BF"/>
        <w:right w:val="single" w:sz="8" w:space="0" w:color="A7CD58" w:themeColor="accent4" w:themeTint="BF"/>
        <w:insideH w:val="single" w:sz="8" w:space="0" w:color="A7CD58" w:themeColor="accent4" w:themeTint="BF"/>
        <w:insideV w:val="single" w:sz="8" w:space="0" w:color="A7CD5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CD5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D90" w:themeFill="accent4" w:themeFillTint="7F"/>
      </w:tcPr>
    </w:tblStylePr>
    <w:tblStylePr w:type="band1Horz">
      <w:tblPr/>
      <w:tcPr>
        <w:shd w:val="clear" w:color="auto" w:fill="C4DD9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9E46-C60D-4199-8C6F-9B9A8A49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128</cp:revision>
  <dcterms:created xsi:type="dcterms:W3CDTF">2012-06-22T05:28:00Z</dcterms:created>
  <dcterms:modified xsi:type="dcterms:W3CDTF">2012-07-13T07:18:00Z</dcterms:modified>
</cp:coreProperties>
</file>